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8320" w14:textId="2E94290A" w:rsidR="004D6215" w:rsidRDefault="000D4ACC" w:rsidP="00BF6296">
      <w:pPr>
        <w:pStyle w:val="Title"/>
        <w:spacing w:before="1080"/>
      </w:pPr>
      <w:r>
        <w:t>ALIRA Vendor FAQ</w:t>
      </w:r>
    </w:p>
    <w:p w14:paraId="1E344C3B" w14:textId="7910FC04" w:rsidR="00EC3289" w:rsidRPr="008E3A55" w:rsidRDefault="00EC3289" w:rsidP="00EC3289">
      <w:pPr>
        <w:spacing w:after="0" w:line="276" w:lineRule="auto"/>
        <w:rPr>
          <w:rFonts w:eastAsiaTheme="minorEastAsia" w:cstheme="minorHAnsi"/>
          <w:b/>
          <w:bCs/>
          <w:color w:val="000000" w:themeColor="text1"/>
          <w:lang w:val="en"/>
        </w:rPr>
      </w:pPr>
      <w:r w:rsidRPr="008E3A55">
        <w:rPr>
          <w:rFonts w:eastAsiaTheme="minorEastAsia" w:cstheme="minorHAnsi"/>
          <w:b/>
          <w:bCs/>
          <w:color w:val="000000" w:themeColor="text1"/>
        </w:rPr>
        <w:t xml:space="preserve">Vendor Name: </w:t>
      </w:r>
      <w:r w:rsidR="00310686" w:rsidRPr="00183A64">
        <w:rPr>
          <w:rFonts w:eastAsiaTheme="minorEastAsia" w:cstheme="minorHAnsi"/>
          <w:b/>
          <w:bCs/>
          <w:color w:val="000000" w:themeColor="text1"/>
        </w:rPr>
        <w:t>A</w:t>
      </w:r>
      <w:r w:rsidR="00310686">
        <w:rPr>
          <w:rFonts w:eastAsiaTheme="minorEastAsia" w:cstheme="minorHAnsi"/>
          <w:b/>
          <w:bCs/>
          <w:color w:val="000000" w:themeColor="text1"/>
        </w:rPr>
        <w:t xml:space="preserve">merican </w:t>
      </w:r>
      <w:r w:rsidR="00310686" w:rsidRPr="00183A64">
        <w:rPr>
          <w:rFonts w:eastAsiaTheme="minorEastAsia" w:cstheme="minorHAnsi"/>
          <w:b/>
          <w:bCs/>
          <w:color w:val="000000" w:themeColor="text1"/>
        </w:rPr>
        <w:t>C</w:t>
      </w:r>
      <w:r w:rsidR="00310686">
        <w:rPr>
          <w:rFonts w:eastAsiaTheme="minorEastAsia" w:cstheme="minorHAnsi"/>
          <w:b/>
          <w:bCs/>
          <w:color w:val="000000" w:themeColor="text1"/>
        </w:rPr>
        <w:t xml:space="preserve">ouncil </w:t>
      </w:r>
      <w:r w:rsidR="00310686" w:rsidRPr="00C44C8E">
        <w:rPr>
          <w:rFonts w:eastAsiaTheme="minorEastAsia" w:cstheme="minorHAnsi"/>
          <w:b/>
          <w:bCs/>
          <w:color w:val="000000" w:themeColor="text1"/>
          <w:sz w:val="20"/>
          <w:szCs w:val="20"/>
        </w:rPr>
        <w:t>on the</w:t>
      </w:r>
      <w:r w:rsidR="00310686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310686" w:rsidRPr="00183A64">
        <w:rPr>
          <w:rFonts w:eastAsiaTheme="minorEastAsia" w:cstheme="minorHAnsi"/>
          <w:b/>
          <w:bCs/>
          <w:color w:val="000000" w:themeColor="text1"/>
        </w:rPr>
        <w:t>T</w:t>
      </w:r>
      <w:r w:rsidR="00310686">
        <w:rPr>
          <w:rFonts w:eastAsiaTheme="minorEastAsia" w:cstheme="minorHAnsi"/>
          <w:b/>
          <w:bCs/>
          <w:color w:val="000000" w:themeColor="text1"/>
        </w:rPr>
        <w:t xml:space="preserve">eaching of </w:t>
      </w:r>
      <w:r w:rsidR="00310686" w:rsidRPr="00183A64">
        <w:rPr>
          <w:rFonts w:eastAsiaTheme="minorEastAsia" w:cstheme="minorHAnsi"/>
          <w:b/>
          <w:bCs/>
          <w:color w:val="000000" w:themeColor="text1"/>
        </w:rPr>
        <w:t>F</w:t>
      </w:r>
      <w:r w:rsidR="00310686">
        <w:rPr>
          <w:rFonts w:eastAsiaTheme="minorEastAsia" w:cstheme="minorHAnsi"/>
          <w:b/>
          <w:bCs/>
          <w:color w:val="000000" w:themeColor="text1"/>
        </w:rPr>
        <w:t>oreign Languages</w:t>
      </w:r>
      <w:r w:rsidR="00424832">
        <w:rPr>
          <w:rFonts w:eastAsiaTheme="minorEastAsia" w:cstheme="minorHAnsi"/>
          <w:b/>
          <w:bCs/>
          <w:color w:val="000000" w:themeColor="text1"/>
        </w:rPr>
        <w:t xml:space="preserve"> (ACTFL)</w:t>
      </w:r>
    </w:p>
    <w:p w14:paraId="2E006F6B" w14:textId="0F13D362" w:rsidR="00EC3289" w:rsidRDefault="00EC3289" w:rsidP="00192EC0">
      <w:pPr>
        <w:spacing w:after="0" w:line="276" w:lineRule="auto"/>
        <w:rPr>
          <w:rFonts w:eastAsiaTheme="minorEastAsia" w:cstheme="minorHAnsi"/>
          <w:b/>
          <w:bCs/>
          <w:color w:val="000000" w:themeColor="text1"/>
        </w:rPr>
      </w:pPr>
      <w:r w:rsidRPr="008E3A55">
        <w:rPr>
          <w:rFonts w:eastAsiaTheme="minorEastAsia" w:cstheme="minorHAnsi"/>
          <w:b/>
          <w:bCs/>
          <w:color w:val="000000" w:themeColor="text1"/>
        </w:rPr>
        <w:t>Assessment(s) Name: ALIRA</w:t>
      </w:r>
      <w:r w:rsidR="003119BD" w:rsidRPr="008E3A55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ED6BC3" w:rsidRPr="008E3A55">
        <w:rPr>
          <w:rFonts w:eastAsiaTheme="minorEastAsia" w:cstheme="minorHAnsi"/>
          <w:b/>
          <w:bCs/>
          <w:color w:val="000000" w:themeColor="text1"/>
        </w:rPr>
        <w:t>(ACTFL Latin Interpretive Reading Assessment)</w:t>
      </w:r>
    </w:p>
    <w:p w14:paraId="4846F7DF" w14:textId="77777777" w:rsidR="00847B2C" w:rsidRPr="008E3A55" w:rsidRDefault="00847B2C" w:rsidP="00192EC0">
      <w:pPr>
        <w:spacing w:after="0" w:line="276" w:lineRule="auto"/>
        <w:rPr>
          <w:rFonts w:eastAsiaTheme="minorEastAsia" w:cstheme="minorHAnsi"/>
          <w:b/>
          <w:bCs/>
          <w:color w:val="000000" w:themeColor="text1"/>
        </w:rPr>
      </w:pPr>
    </w:p>
    <w:tbl>
      <w:tblPr>
        <w:tblStyle w:val="ListTable3-Accent1"/>
        <w:tblW w:w="10885" w:type="dxa"/>
        <w:tblBorders>
          <w:insideH w:val="single" w:sz="4" w:space="0" w:color="00A69B" w:themeColor="accent1"/>
          <w:insideV w:val="single" w:sz="4" w:space="0" w:color="00A69B" w:themeColor="accent1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490"/>
        <w:gridCol w:w="7395"/>
      </w:tblGrid>
      <w:tr w:rsidR="00EC3289" w:rsidRPr="008E3A55" w14:paraId="7A57CEAB" w14:textId="77777777" w:rsidTr="00847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0" w:type="dxa"/>
            <w:tcBorders>
              <w:bottom w:val="none" w:sz="0" w:space="0" w:color="auto"/>
              <w:right w:val="none" w:sz="0" w:space="0" w:color="auto"/>
            </w:tcBorders>
          </w:tcPr>
          <w:p w14:paraId="61BF2812" w14:textId="77777777" w:rsidR="00EC3289" w:rsidRPr="00175C41" w:rsidRDefault="00EC3289" w:rsidP="00BD6604">
            <w:pPr>
              <w:rPr>
                <w:rFonts w:cstheme="minorHAnsi"/>
                <w:sz w:val="28"/>
                <w:szCs w:val="28"/>
              </w:rPr>
            </w:pPr>
            <w:r w:rsidRPr="00175C41">
              <w:rPr>
                <w:rFonts w:eastAsia="Calibri" w:cstheme="minorHAnsi"/>
                <w:sz w:val="28"/>
                <w:szCs w:val="28"/>
                <w:lang w:val="en"/>
              </w:rPr>
              <w:t>Question</w:t>
            </w:r>
          </w:p>
        </w:tc>
        <w:tc>
          <w:tcPr>
            <w:tcW w:w="7395" w:type="dxa"/>
          </w:tcPr>
          <w:p w14:paraId="7D713053" w14:textId="77777777" w:rsidR="00EC3289" w:rsidRPr="00175C41" w:rsidRDefault="00EC3289" w:rsidP="00BD6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75C41">
              <w:rPr>
                <w:rFonts w:eastAsia="Calibri" w:cstheme="minorHAnsi"/>
                <w:sz w:val="28"/>
                <w:szCs w:val="28"/>
                <w:lang w:val="en"/>
              </w:rPr>
              <w:t>Answer</w:t>
            </w:r>
          </w:p>
        </w:tc>
      </w:tr>
      <w:tr w:rsidR="0093212E" w:rsidRPr="008E3A55" w14:paraId="0EEEC5BD" w14:textId="77777777" w:rsidTr="00847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3898F146" w14:textId="602E335E" w:rsidR="0093212E" w:rsidRDefault="0093212E" w:rsidP="0093212E">
            <w:pPr>
              <w:rPr>
                <w:rFonts w:eastAsia="Calibri" w:cstheme="minorHAnsi"/>
                <w:lang w:val="en"/>
              </w:rPr>
            </w:pPr>
            <w:r>
              <w:rPr>
                <w:rFonts w:eastAsia="Calibri" w:cstheme="minorHAnsi"/>
                <w:lang w:val="en"/>
              </w:rPr>
              <w:t>What g</w:t>
            </w:r>
            <w:r w:rsidRPr="00175C41">
              <w:rPr>
                <w:rFonts w:eastAsia="Calibri" w:cstheme="minorHAnsi"/>
                <w:lang w:val="en"/>
              </w:rPr>
              <w:t xml:space="preserve">rades </w:t>
            </w:r>
            <w:r>
              <w:rPr>
                <w:rFonts w:eastAsia="Calibri" w:cstheme="minorHAnsi"/>
                <w:lang w:val="en"/>
              </w:rPr>
              <w:t>are c</w:t>
            </w:r>
            <w:r w:rsidRPr="00175C41">
              <w:rPr>
                <w:rFonts w:eastAsia="Calibri" w:cstheme="minorHAnsi"/>
                <w:lang w:val="en"/>
              </w:rPr>
              <w:t>overed</w:t>
            </w:r>
            <w:r>
              <w:rPr>
                <w:rFonts w:eastAsia="Calibri" w:cstheme="minorHAnsi"/>
                <w:lang w:val="en"/>
              </w:rPr>
              <w:t>?</w:t>
            </w:r>
          </w:p>
        </w:tc>
        <w:tc>
          <w:tcPr>
            <w:tcW w:w="7395" w:type="dxa"/>
          </w:tcPr>
          <w:p w14:paraId="5E6CCC84" w14:textId="67758393" w:rsidR="0093212E" w:rsidRPr="00423815" w:rsidRDefault="0093212E" w:rsidP="0093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"/>
              </w:rPr>
            </w:pPr>
            <w:r w:rsidRPr="007148CF">
              <w:rPr>
                <w:rFonts w:eastAsia="Calibri" w:cstheme="minorHAnsi"/>
                <w:lang w:val="en"/>
              </w:rPr>
              <w:t>1</w:t>
            </w:r>
            <w:r w:rsidRPr="007148CF">
              <w:rPr>
                <w:rFonts w:eastAsia="Calibri" w:cstheme="minorHAnsi"/>
                <w:vertAlign w:val="superscript"/>
                <w:lang w:val="en"/>
              </w:rPr>
              <w:t>st</w:t>
            </w:r>
            <w:r w:rsidRPr="007148CF">
              <w:rPr>
                <w:rFonts w:eastAsia="Calibri" w:cstheme="minorHAnsi"/>
                <w:lang w:val="en"/>
              </w:rPr>
              <w:t xml:space="preserve"> </w:t>
            </w:r>
            <w:r>
              <w:rPr>
                <w:rFonts w:eastAsia="Calibri" w:cstheme="minorHAnsi"/>
                <w:lang w:val="en"/>
              </w:rPr>
              <w:t xml:space="preserve">- </w:t>
            </w:r>
            <w:r w:rsidRPr="007148CF">
              <w:rPr>
                <w:rFonts w:eastAsia="Calibri" w:cstheme="minorHAnsi"/>
                <w:lang w:val="en"/>
              </w:rPr>
              <w:t>12</w:t>
            </w:r>
            <w:r w:rsidRPr="007148CF">
              <w:rPr>
                <w:rFonts w:eastAsia="Calibri" w:cstheme="minorHAnsi"/>
                <w:vertAlign w:val="superscript"/>
                <w:lang w:val="en"/>
              </w:rPr>
              <w:t>th</w:t>
            </w:r>
            <w:r w:rsidRPr="007148CF">
              <w:rPr>
                <w:rFonts w:eastAsia="Calibri" w:cstheme="minorHAnsi"/>
                <w:lang w:val="en"/>
              </w:rPr>
              <w:t xml:space="preserve"> Latin</w:t>
            </w:r>
          </w:p>
        </w:tc>
      </w:tr>
      <w:tr w:rsidR="0093212E" w:rsidRPr="008E3A55" w14:paraId="20B8AFD6" w14:textId="77777777" w:rsidTr="00847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14:paraId="256FB6B8" w14:textId="47822BD1" w:rsidR="0093212E" w:rsidRPr="00175C41" w:rsidRDefault="0093212E" w:rsidP="0093212E">
            <w:pPr>
              <w:rPr>
                <w:rFonts w:eastAsia="Calibri" w:cstheme="minorHAnsi"/>
                <w:lang w:val="en"/>
              </w:rPr>
            </w:pPr>
            <w:r>
              <w:rPr>
                <w:rFonts w:eastAsia="Calibri" w:cstheme="minorHAnsi"/>
                <w:lang w:val="en"/>
              </w:rPr>
              <w:t>Is there a p</w:t>
            </w:r>
            <w:r w:rsidRPr="00175C41">
              <w:rPr>
                <w:rFonts w:eastAsia="Calibri" w:cstheme="minorHAnsi"/>
                <w:lang w:val="en"/>
              </w:rPr>
              <w:t>re/</w:t>
            </w:r>
            <w:r>
              <w:rPr>
                <w:rFonts w:eastAsia="Calibri" w:cstheme="minorHAnsi"/>
                <w:lang w:val="en"/>
              </w:rPr>
              <w:t>p</w:t>
            </w:r>
            <w:r w:rsidRPr="00175C41">
              <w:rPr>
                <w:rFonts w:eastAsia="Calibri" w:cstheme="minorHAnsi"/>
                <w:lang w:val="en"/>
              </w:rPr>
              <w:t xml:space="preserve">ost </w:t>
            </w:r>
            <w:r>
              <w:rPr>
                <w:rFonts w:eastAsia="Calibri" w:cstheme="minorHAnsi"/>
                <w:lang w:val="en"/>
              </w:rPr>
              <w:t>t</w:t>
            </w:r>
            <w:r w:rsidRPr="00175C41">
              <w:rPr>
                <w:rFonts w:eastAsia="Calibri" w:cstheme="minorHAnsi"/>
                <w:lang w:val="en"/>
              </w:rPr>
              <w:t>est</w:t>
            </w:r>
            <w:r>
              <w:rPr>
                <w:rFonts w:eastAsia="Calibri" w:cstheme="minorHAnsi"/>
                <w:lang w:val="en"/>
              </w:rPr>
              <w:t>?</w:t>
            </w:r>
          </w:p>
        </w:tc>
        <w:tc>
          <w:tcPr>
            <w:tcW w:w="7395" w:type="dxa"/>
          </w:tcPr>
          <w:p w14:paraId="49C1892F" w14:textId="67D7CD4F" w:rsidR="0093212E" w:rsidRPr="007148CF" w:rsidRDefault="0093212E" w:rsidP="0093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"/>
              </w:rPr>
            </w:pPr>
            <w:r w:rsidRPr="00423815">
              <w:rPr>
                <w:rFonts w:eastAsia="Calibri" w:cstheme="minorHAnsi"/>
                <w:lang w:val="en"/>
              </w:rPr>
              <w:t xml:space="preserve">Yes, </w:t>
            </w:r>
            <w:r>
              <w:rPr>
                <w:rFonts w:eastAsia="Calibri" w:cstheme="minorHAnsi"/>
                <w:lang w:val="en"/>
              </w:rPr>
              <w:t>f</w:t>
            </w:r>
            <w:r w:rsidRPr="00423815">
              <w:rPr>
                <w:rFonts w:eastAsia="Calibri" w:cstheme="minorHAnsi"/>
                <w:lang w:val="en"/>
              </w:rPr>
              <w:t>or the purposes of TIA, districts could use Pre/Post-test options 2 and 4</w:t>
            </w:r>
            <w:r>
              <w:rPr>
                <w:rFonts w:eastAsia="Calibri" w:cstheme="minorHAnsi"/>
                <w:lang w:val="en"/>
              </w:rPr>
              <w:t>.</w:t>
            </w:r>
          </w:p>
        </w:tc>
      </w:tr>
      <w:tr w:rsidR="0093212E" w:rsidRPr="008E3A55" w14:paraId="221F2335" w14:textId="77777777" w:rsidTr="00847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A07354" w14:textId="71663B33" w:rsidR="0093212E" w:rsidRPr="008E3A55" w:rsidRDefault="0093212E" w:rsidP="0093212E">
            <w:pPr>
              <w:rPr>
                <w:rFonts w:eastAsiaTheme="minorEastAsia" w:cstheme="minorHAnsi"/>
                <w:b w:val="0"/>
              </w:rPr>
            </w:pPr>
            <w:r w:rsidRPr="008E3A55">
              <w:rPr>
                <w:rFonts w:cstheme="minorHAnsi"/>
              </w:rPr>
              <w:t>What</w:t>
            </w:r>
            <w:r w:rsidRPr="008E3A55">
              <w:rPr>
                <w:rFonts w:cstheme="minorHAnsi"/>
                <w:spacing w:val="-2"/>
              </w:rPr>
              <w:t xml:space="preserve"> </w:t>
            </w:r>
            <w:r w:rsidRPr="008E3A55">
              <w:rPr>
                <w:rFonts w:cstheme="minorHAnsi"/>
              </w:rPr>
              <w:t>is</w:t>
            </w:r>
            <w:r w:rsidRPr="008E3A55">
              <w:rPr>
                <w:rFonts w:cstheme="minorHAnsi"/>
                <w:spacing w:val="-1"/>
              </w:rPr>
              <w:t xml:space="preserve"> the </w:t>
            </w:r>
            <w:r w:rsidRPr="008E3A55">
              <w:rPr>
                <w:rFonts w:cstheme="minorHAnsi"/>
                <w:color w:val="000000"/>
              </w:rPr>
              <w:t>ALIRA?</w:t>
            </w:r>
            <w:r w:rsidRPr="008E3A55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7395" w:type="dxa"/>
            <w:tcBorders>
              <w:top w:val="none" w:sz="0" w:space="0" w:color="auto"/>
              <w:bottom w:val="none" w:sz="0" w:space="0" w:color="auto"/>
            </w:tcBorders>
          </w:tcPr>
          <w:p w14:paraId="47752512" w14:textId="77777777" w:rsidR="0093212E" w:rsidRPr="008E3A55" w:rsidRDefault="0093212E" w:rsidP="0093212E">
            <w:pPr>
              <w:pStyle w:val="TableParagraph"/>
              <w:ind w:left="0"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3A55">
              <w:rPr>
                <w:rFonts w:asciiTheme="minorHAnsi" w:hAnsiTheme="minorHAnsi" w:cstheme="minorHAnsi"/>
              </w:rPr>
              <w:t>The ACTFL Latin Interpretive Reading Assessment (ALIRA) is a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computer-adaptive assessment of Latin students' ability to read for</w:t>
            </w:r>
            <w:r w:rsidRPr="008E3A5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comprehension a variety of Latin-language texts that typify those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used in an instructional setting. ALIRA is rated according to the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ACTFL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Performance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Descriptors for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Language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Learners.</w:t>
            </w:r>
          </w:p>
          <w:p w14:paraId="741C0F48" w14:textId="77777777" w:rsidR="0093212E" w:rsidRPr="008E3A55" w:rsidRDefault="0093212E" w:rsidP="0093212E">
            <w:pPr>
              <w:pStyle w:val="TableParagraph"/>
              <w:spacing w:before="8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834500" w14:textId="77777777" w:rsidR="0093212E" w:rsidRPr="008E3A55" w:rsidRDefault="0093212E" w:rsidP="0093212E">
            <w:pPr>
              <w:pStyle w:val="TableParagraph"/>
              <w:ind w:left="0" w:right="2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3A55">
              <w:rPr>
                <w:rFonts w:asciiTheme="minorHAnsi" w:hAnsiTheme="minorHAnsi" w:cstheme="minorHAnsi"/>
              </w:rPr>
              <w:t>The assessment is designed for students learning Latin in middle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school through high school. The ALIRA tests interpretive reading in</w:t>
            </w:r>
            <w:r w:rsidRPr="008E3A5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Latin via a four-option, multiple choice, computer-adaptive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assessment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that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can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be delivered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in</w:t>
            </w:r>
            <w:r w:rsidRPr="008E3A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 single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class period.</w:t>
            </w:r>
          </w:p>
          <w:p w14:paraId="0DFAF6FB" w14:textId="77777777" w:rsidR="0093212E" w:rsidRPr="008E3A55" w:rsidRDefault="0093212E" w:rsidP="0093212E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B51F48A" w14:textId="46618A25" w:rsidR="0093212E" w:rsidRPr="004D69B2" w:rsidRDefault="0093212E" w:rsidP="0093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8E3A55">
              <w:rPr>
                <w:rFonts w:cstheme="minorHAnsi"/>
              </w:rPr>
              <w:t>ALIRA was created through a collaborative effort between The</w:t>
            </w:r>
            <w:r w:rsidRPr="008E3A55">
              <w:rPr>
                <w:rFonts w:cstheme="minorHAnsi"/>
                <w:spacing w:val="1"/>
              </w:rPr>
              <w:t xml:space="preserve"> </w:t>
            </w:r>
            <w:r w:rsidRPr="008E3A55">
              <w:rPr>
                <w:rFonts w:cstheme="minorHAnsi"/>
              </w:rPr>
              <w:t>American Classical League (ACL) and ACTFL. It is a first-of-its</w:t>
            </w:r>
            <w:r>
              <w:rPr>
                <w:rFonts w:cstheme="minorHAnsi"/>
              </w:rPr>
              <w:t>-</w:t>
            </w:r>
            <w:r w:rsidRPr="008E3A55">
              <w:rPr>
                <w:rFonts w:cstheme="minorHAnsi"/>
              </w:rPr>
              <w:t>kind</w:t>
            </w:r>
            <w:r w:rsidRPr="008E3A55">
              <w:rPr>
                <w:rFonts w:cstheme="minorHAnsi"/>
                <w:spacing w:val="1"/>
              </w:rPr>
              <w:t xml:space="preserve"> </w:t>
            </w:r>
            <w:r w:rsidRPr="008E3A55">
              <w:rPr>
                <w:rFonts w:cstheme="minorHAnsi"/>
              </w:rPr>
              <w:t xml:space="preserve">assessment that is based on both the </w:t>
            </w:r>
            <w:hyperlink r:id="rId10">
              <w:r w:rsidRPr="008E3A55">
                <w:rPr>
                  <w:rFonts w:cstheme="minorHAnsi"/>
                  <w:i/>
                </w:rPr>
                <w:t>World-Readiness Standards</w:t>
              </w:r>
            </w:hyperlink>
            <w:r w:rsidRPr="008E3A55">
              <w:rPr>
                <w:rFonts w:cstheme="minorHAnsi"/>
                <w:i/>
                <w:spacing w:val="1"/>
              </w:rPr>
              <w:t xml:space="preserve"> </w:t>
            </w:r>
            <w:hyperlink r:id="rId11">
              <w:r w:rsidRPr="008E3A55">
                <w:rPr>
                  <w:rFonts w:cstheme="minorHAnsi"/>
                  <w:i/>
                </w:rPr>
                <w:t xml:space="preserve">for Learning Languages </w:t>
              </w:r>
            </w:hyperlink>
            <w:r w:rsidRPr="008E3A55">
              <w:rPr>
                <w:rFonts w:cstheme="minorHAnsi"/>
              </w:rPr>
              <w:t xml:space="preserve">and the </w:t>
            </w:r>
            <w:r w:rsidRPr="008E3A55">
              <w:rPr>
                <w:rFonts w:cstheme="minorHAnsi"/>
                <w:i/>
              </w:rPr>
              <w:t>Standards for Classical Language</w:t>
            </w:r>
            <w:r w:rsidRPr="008E3A55">
              <w:rPr>
                <w:rFonts w:cstheme="minorHAnsi"/>
                <w:i/>
                <w:spacing w:val="1"/>
              </w:rPr>
              <w:t xml:space="preserve"> </w:t>
            </w:r>
            <w:r w:rsidRPr="008E3A55">
              <w:rPr>
                <w:rFonts w:cstheme="minorHAnsi"/>
                <w:i/>
              </w:rPr>
              <w:t>Learning</w:t>
            </w:r>
            <w:r w:rsidRPr="008E3A55">
              <w:rPr>
                <w:rFonts w:cstheme="minorHAnsi"/>
              </w:rPr>
              <w:t>. What makes the ALIRA unique is its alignment with the</w:t>
            </w:r>
            <w:r w:rsidRPr="008E3A55">
              <w:rPr>
                <w:rFonts w:cstheme="minorHAnsi"/>
                <w:spacing w:val="1"/>
              </w:rPr>
              <w:t xml:space="preserve"> </w:t>
            </w:r>
            <w:r w:rsidRPr="008E3A55">
              <w:rPr>
                <w:rFonts w:cstheme="minorHAnsi"/>
              </w:rPr>
              <w:t>World-Readiness Standards and the reflection of teachers’ real</w:t>
            </w:r>
            <w:r w:rsidRPr="008E3A55">
              <w:rPr>
                <w:rFonts w:cstheme="minorHAnsi"/>
                <w:spacing w:val="1"/>
              </w:rPr>
              <w:t xml:space="preserve"> </w:t>
            </w:r>
            <w:r w:rsidRPr="008E3A55">
              <w:rPr>
                <w:rFonts w:cstheme="minorHAnsi"/>
              </w:rPr>
              <w:t>classroom experience and knowledge of student needs, growth and development that is inherent in the test development system. ALIRA reflects this firmly-held conviction through the</w:t>
            </w:r>
            <w:r w:rsidRPr="008E3A55">
              <w:rPr>
                <w:rFonts w:cstheme="minorHAnsi"/>
                <w:spacing w:val="1"/>
              </w:rPr>
              <w:t xml:space="preserve"> </w:t>
            </w:r>
            <w:r w:rsidRPr="008E3A55">
              <w:rPr>
                <w:rFonts w:cstheme="minorHAnsi"/>
              </w:rPr>
              <w:t>wide</w:t>
            </w:r>
            <w:r w:rsidRPr="008E3A55">
              <w:rPr>
                <w:rFonts w:cstheme="minorHAnsi"/>
                <w:spacing w:val="-3"/>
              </w:rPr>
              <w:t xml:space="preserve"> </w:t>
            </w:r>
            <w:r w:rsidRPr="008E3A55">
              <w:rPr>
                <w:rFonts w:cstheme="minorHAnsi"/>
              </w:rPr>
              <w:t>variety</w:t>
            </w:r>
            <w:r w:rsidRPr="008E3A55">
              <w:rPr>
                <w:rFonts w:cstheme="minorHAnsi"/>
                <w:spacing w:val="-2"/>
              </w:rPr>
              <w:t xml:space="preserve"> </w:t>
            </w:r>
            <w:r w:rsidRPr="008E3A55">
              <w:rPr>
                <w:rFonts w:cstheme="minorHAnsi"/>
              </w:rPr>
              <w:t>of</w:t>
            </w:r>
            <w:r w:rsidRPr="008E3A55">
              <w:rPr>
                <w:rFonts w:cstheme="minorHAnsi"/>
                <w:spacing w:val="-1"/>
              </w:rPr>
              <w:t xml:space="preserve"> </w:t>
            </w:r>
            <w:r w:rsidRPr="008E3A55">
              <w:rPr>
                <w:rFonts w:cstheme="minorHAnsi"/>
              </w:rPr>
              <w:t>texts</w:t>
            </w:r>
            <w:r w:rsidRPr="008E3A55">
              <w:rPr>
                <w:rFonts w:cstheme="minorHAnsi"/>
                <w:spacing w:val="-3"/>
              </w:rPr>
              <w:t xml:space="preserve"> </w:t>
            </w:r>
            <w:r w:rsidRPr="008E3A55">
              <w:rPr>
                <w:rFonts w:cstheme="minorHAnsi"/>
              </w:rPr>
              <w:t>that it</w:t>
            </w:r>
            <w:r w:rsidRPr="008E3A55">
              <w:rPr>
                <w:rFonts w:cstheme="minorHAnsi"/>
                <w:spacing w:val="-3"/>
              </w:rPr>
              <w:t xml:space="preserve"> </w:t>
            </w:r>
            <w:r w:rsidRPr="008E3A55">
              <w:rPr>
                <w:rFonts w:cstheme="minorHAnsi"/>
              </w:rPr>
              <w:t>uses—from</w:t>
            </w:r>
            <w:r w:rsidRPr="008E3A55">
              <w:rPr>
                <w:rFonts w:cstheme="minorHAnsi"/>
                <w:spacing w:val="-2"/>
              </w:rPr>
              <w:t xml:space="preserve"> </w:t>
            </w:r>
            <w:r w:rsidRPr="008E3A55">
              <w:rPr>
                <w:rFonts w:cstheme="minorHAnsi"/>
              </w:rPr>
              <w:t>antiquity</w:t>
            </w:r>
            <w:r w:rsidRPr="008E3A55">
              <w:rPr>
                <w:rFonts w:cstheme="minorHAnsi"/>
                <w:spacing w:val="-2"/>
              </w:rPr>
              <w:t xml:space="preserve"> </w:t>
            </w:r>
            <w:r w:rsidRPr="008E3A55">
              <w:rPr>
                <w:rFonts w:cstheme="minorHAnsi"/>
              </w:rPr>
              <w:t>to</w:t>
            </w:r>
            <w:r w:rsidRPr="008E3A55">
              <w:rPr>
                <w:rFonts w:cstheme="minorHAnsi"/>
                <w:spacing w:val="-2"/>
              </w:rPr>
              <w:t xml:space="preserve"> </w:t>
            </w:r>
            <w:r w:rsidRPr="008E3A55">
              <w:rPr>
                <w:rFonts w:cstheme="minorHAnsi"/>
              </w:rPr>
              <w:t>21st Century social</w:t>
            </w:r>
            <w:r w:rsidRPr="008E3A55">
              <w:rPr>
                <w:rFonts w:cstheme="minorHAnsi"/>
                <w:spacing w:val="-3"/>
              </w:rPr>
              <w:t xml:space="preserve"> </w:t>
            </w:r>
            <w:r w:rsidRPr="008E3A55">
              <w:rPr>
                <w:rFonts w:cstheme="minorHAnsi"/>
              </w:rPr>
              <w:t>media</w:t>
            </w:r>
            <w:r w:rsidR="00E9390C">
              <w:rPr>
                <w:rFonts w:eastAsiaTheme="minorEastAsia" w:cstheme="minorHAnsi"/>
              </w:rPr>
              <w:t xml:space="preserve"> </w:t>
            </w:r>
          </w:p>
        </w:tc>
      </w:tr>
    </w:tbl>
    <w:p w14:paraId="1F2D8EDC" w14:textId="77777777" w:rsidR="00847B2C" w:rsidRDefault="00847B2C">
      <w:r>
        <w:rPr>
          <w:b/>
          <w:bCs/>
        </w:rPr>
        <w:br w:type="page"/>
      </w:r>
    </w:p>
    <w:tbl>
      <w:tblPr>
        <w:tblStyle w:val="TableGrid"/>
        <w:tblW w:w="10980" w:type="dxa"/>
        <w:tblInd w:w="-5" w:type="dxa"/>
        <w:tblBorders>
          <w:top w:val="single" w:sz="4" w:space="0" w:color="00A69B"/>
          <w:left w:val="single" w:sz="4" w:space="0" w:color="00A69B"/>
          <w:bottom w:val="single" w:sz="4" w:space="0" w:color="00A69B"/>
          <w:right w:val="single" w:sz="4" w:space="0" w:color="00A69B"/>
          <w:insideH w:val="single" w:sz="4" w:space="0" w:color="00A69B"/>
          <w:insideV w:val="single" w:sz="4" w:space="0" w:color="00A69B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125"/>
        <w:gridCol w:w="7855"/>
      </w:tblGrid>
      <w:tr w:rsidR="00086D03" w:rsidRPr="008E3A55" w14:paraId="6C9FC2E7" w14:textId="77777777" w:rsidTr="004F482C">
        <w:tc>
          <w:tcPr>
            <w:tcW w:w="3125" w:type="dxa"/>
          </w:tcPr>
          <w:p w14:paraId="37C88C39" w14:textId="48F93B32" w:rsidR="00086D03" w:rsidRPr="001A7693" w:rsidRDefault="00086D03" w:rsidP="00086D03">
            <w:pPr>
              <w:rPr>
                <w:rFonts w:eastAsiaTheme="minorEastAsia" w:cstheme="minorHAnsi"/>
                <w:b/>
                <w:bCs/>
                <w:lang w:val="en"/>
              </w:rPr>
            </w:pPr>
            <w:r w:rsidRPr="001A7693">
              <w:rPr>
                <w:b/>
                <w:bCs/>
              </w:rPr>
              <w:lastRenderedPageBreak/>
              <w:t>How can I use ACTFL’s ALIRA?</w:t>
            </w:r>
          </w:p>
        </w:tc>
        <w:tc>
          <w:tcPr>
            <w:tcW w:w="7855" w:type="dxa"/>
          </w:tcPr>
          <w:p w14:paraId="2E83D88F" w14:textId="77777777" w:rsidR="00086D03" w:rsidRDefault="00086D03" w:rsidP="00086D03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 w:rsidRPr="00847B2C">
              <w:rPr>
                <w:rFonts w:asciiTheme="minorHAnsi" w:hAnsiTheme="minorHAnsi" w:cstheme="minorHAnsi"/>
              </w:rPr>
              <w:t>ALIRA assesses Interpretive Reading in Latin. ALIRA uses a wide variety of texts including shorter and longer texts from ancient Rome, authentic historical documents, and modern texts from today's classical studies classrooms.</w:t>
            </w:r>
          </w:p>
          <w:p w14:paraId="101A2616" w14:textId="77777777" w:rsidR="00086D03" w:rsidRDefault="00086D03" w:rsidP="00086D03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</w:p>
          <w:p w14:paraId="3A1EBB83" w14:textId="77777777" w:rsidR="00086D03" w:rsidRDefault="00086D03" w:rsidP="00086D03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ALIRA was evaluated against and confirmed to align with all assessable TEKS in 2018 for:</w:t>
            </w:r>
          </w:p>
          <w:p w14:paraId="4152CDC8" w14:textId="300859E8" w:rsidR="00086D03" w:rsidRDefault="00086D03" w:rsidP="00086D03">
            <w:pPr>
              <w:pStyle w:val="TableParagraph"/>
              <w:numPr>
                <w:ilvl w:val="0"/>
                <w:numId w:val="7"/>
              </w:numPr>
              <w:ind w:righ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Languages Other Than English (LOTE) 114.39 Level I</w:t>
            </w:r>
          </w:p>
          <w:p w14:paraId="5F4C3610" w14:textId="20EFF14A" w:rsidR="00086D03" w:rsidRDefault="00086D03" w:rsidP="00086D03">
            <w:pPr>
              <w:pStyle w:val="TableParagraph"/>
              <w:numPr>
                <w:ilvl w:val="0"/>
                <w:numId w:val="7"/>
              </w:numPr>
              <w:ind w:righ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Languages Other Than English (LOTE) 114.40 Level II</w:t>
            </w:r>
          </w:p>
          <w:p w14:paraId="0B7B3862" w14:textId="63326F97" w:rsidR="00086D03" w:rsidRDefault="00086D03" w:rsidP="00086D03">
            <w:pPr>
              <w:pStyle w:val="TableParagraph"/>
              <w:numPr>
                <w:ilvl w:val="0"/>
                <w:numId w:val="7"/>
              </w:numPr>
              <w:ind w:righ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Languages Other Than English (LOTE) 114.</w:t>
            </w:r>
            <w:r w:rsidR="001C7C6B">
              <w:rPr>
                <w:rFonts w:asciiTheme="minorHAnsi" w:hAnsiTheme="minorHAnsi" w:cstheme="minorHAnsi"/>
              </w:rPr>
              <w:t>41</w:t>
            </w:r>
            <w:r>
              <w:rPr>
                <w:rFonts w:asciiTheme="minorHAnsi" w:hAnsiTheme="minorHAnsi" w:cstheme="minorHAnsi"/>
              </w:rPr>
              <w:t xml:space="preserve"> Level I</w:t>
            </w:r>
            <w:r w:rsidR="001C7C6B">
              <w:rPr>
                <w:rFonts w:asciiTheme="minorHAnsi" w:hAnsiTheme="minorHAnsi" w:cstheme="minorHAnsi"/>
              </w:rPr>
              <w:t>II</w:t>
            </w:r>
          </w:p>
          <w:p w14:paraId="23B83396" w14:textId="4F5947FF" w:rsidR="00086D03" w:rsidRPr="008E3A55" w:rsidRDefault="00086D03" w:rsidP="00086D03">
            <w:pPr>
              <w:pStyle w:val="TableParagraph"/>
              <w:numPr>
                <w:ilvl w:val="0"/>
                <w:numId w:val="7"/>
              </w:numPr>
              <w:ind w:righ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Languages Other Than English (LOTE) 114.</w:t>
            </w:r>
            <w:r w:rsidR="001C7C6B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Level I</w:t>
            </w:r>
            <w:r w:rsidR="001C7C6B">
              <w:rPr>
                <w:rFonts w:asciiTheme="minorHAnsi" w:hAnsiTheme="minorHAnsi" w:cstheme="minorHAnsi"/>
              </w:rPr>
              <w:t>V</w:t>
            </w:r>
          </w:p>
        </w:tc>
      </w:tr>
      <w:tr w:rsidR="00EC3289" w:rsidRPr="008E3A55" w14:paraId="39973719" w14:textId="77777777" w:rsidTr="004F482C">
        <w:tc>
          <w:tcPr>
            <w:tcW w:w="3125" w:type="dxa"/>
          </w:tcPr>
          <w:p w14:paraId="228A0153" w14:textId="33CC390F" w:rsidR="00EC3289" w:rsidRPr="008E3A55" w:rsidRDefault="00EC3289" w:rsidP="00BD6604">
            <w:pPr>
              <w:rPr>
                <w:rFonts w:eastAsiaTheme="minorEastAsia" w:cstheme="minorHAnsi"/>
                <w:b/>
                <w:bCs/>
                <w:lang w:val="en"/>
              </w:rPr>
            </w:pPr>
            <w:r w:rsidRPr="008E3A55">
              <w:rPr>
                <w:rFonts w:eastAsiaTheme="minorEastAsia" w:cstheme="minorHAnsi"/>
                <w:b/>
                <w:bCs/>
                <w:lang w:val="en"/>
              </w:rPr>
              <w:t xml:space="preserve">What was the </w:t>
            </w:r>
            <w:r w:rsidRPr="008E3A55">
              <w:rPr>
                <w:rFonts w:eastAsiaTheme="minorEastAsia" w:cstheme="minorHAnsi"/>
                <w:b/>
                <w:bCs/>
                <w:color w:val="000000" w:themeColor="text1"/>
              </w:rPr>
              <w:t>ALIRA</w:t>
            </w:r>
            <w:r w:rsidRPr="008E3A55">
              <w:rPr>
                <w:rFonts w:eastAsiaTheme="minorEastAsia" w:cstheme="minorHAnsi"/>
                <w:b/>
                <w:bCs/>
                <w:lang w:val="en"/>
              </w:rPr>
              <w:t xml:space="preserve"> designed to do?</w:t>
            </w:r>
          </w:p>
          <w:p w14:paraId="23618F17" w14:textId="77777777" w:rsidR="00EC3289" w:rsidRPr="008E3A55" w:rsidRDefault="00EC3289" w:rsidP="00BD6604">
            <w:pPr>
              <w:rPr>
                <w:rFonts w:eastAsiaTheme="minorEastAsia" w:cstheme="minorHAnsi"/>
                <w:lang w:val="en"/>
              </w:rPr>
            </w:pPr>
            <w:r w:rsidRPr="008E3A55">
              <w:rPr>
                <w:rFonts w:eastAsiaTheme="minorEastAsia" w:cstheme="minorHAnsi"/>
                <w:lang w:val="en"/>
              </w:rPr>
              <w:t xml:space="preserve"> </w:t>
            </w:r>
          </w:p>
        </w:tc>
        <w:tc>
          <w:tcPr>
            <w:tcW w:w="7855" w:type="dxa"/>
          </w:tcPr>
          <w:p w14:paraId="40CDFE07" w14:textId="68CBBBE6" w:rsidR="00EC3289" w:rsidRPr="008E3A55" w:rsidRDefault="00EC3289" w:rsidP="00BD6604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 w:rsidRPr="008E3A55">
              <w:rPr>
                <w:rFonts w:asciiTheme="minorHAnsi" w:hAnsiTheme="minorHAnsi" w:cstheme="minorHAnsi"/>
              </w:rPr>
              <w:t>The ALIRA was designed to assess the interpretive reading ability of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students of Latin by allowing the test taker to read texts and then respond to questions about each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text. It measures student progress in interpretive reading via a more</w:t>
            </w:r>
            <w:r w:rsidR="00E9390C">
              <w:rPr>
                <w:rFonts w:asciiTheme="minorHAnsi" w:hAnsiTheme="minorHAnsi" w:cstheme="minorHAnsi"/>
                <w:spacing w:val="-47"/>
              </w:rPr>
              <w:t xml:space="preserve">      </w:t>
            </w:r>
            <w:r w:rsidRPr="008E3A55">
              <w:rPr>
                <w:rFonts w:asciiTheme="minorHAnsi" w:hAnsiTheme="minorHAnsi" w:cstheme="minorHAnsi"/>
              </w:rPr>
              <w:t>nuanced set of sublevels than the ACTFL Proficiency Guidelines to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document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measurable progress toward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reading.</w:t>
            </w:r>
            <w:r w:rsidR="00E9390C">
              <w:rPr>
                <w:rFonts w:asciiTheme="minorHAnsi" w:hAnsiTheme="minorHAnsi" w:cstheme="minorHAnsi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ALIRA provides a performance rating that aligns with benchmark points along the continuum towards proficiency. Within the Novice level</w:t>
            </w:r>
            <w:r w:rsidR="004D69B2">
              <w:rPr>
                <w:rFonts w:asciiTheme="minorHAnsi" w:hAnsiTheme="minorHAnsi" w:cstheme="minorHAnsi"/>
              </w:rPr>
              <w:t>,</w:t>
            </w:r>
            <w:r w:rsidRPr="008E3A55">
              <w:rPr>
                <w:rFonts w:asciiTheme="minorHAnsi" w:hAnsiTheme="minorHAnsi" w:cstheme="minorHAnsi"/>
              </w:rPr>
              <w:t xml:space="preserve"> there are four such points (represented as N-1 through N-4), within the Intermediate ranges there are five points (I-1 through I- 5), and there is one point within the Advanced range (A-1). </w:t>
            </w:r>
          </w:p>
        </w:tc>
      </w:tr>
      <w:tr w:rsidR="00EC3289" w:rsidRPr="008E3A55" w14:paraId="18B3467A" w14:textId="77777777" w:rsidTr="004F482C">
        <w:trPr>
          <w:trHeight w:val="1231"/>
        </w:trPr>
        <w:tc>
          <w:tcPr>
            <w:tcW w:w="3125" w:type="dxa"/>
          </w:tcPr>
          <w:p w14:paraId="79298AC7" w14:textId="7D0BC969" w:rsidR="00EC3289" w:rsidRPr="008E3A55" w:rsidRDefault="00EC3289" w:rsidP="00BD6604">
            <w:pPr>
              <w:rPr>
                <w:rFonts w:eastAsiaTheme="minorEastAsia" w:cstheme="minorHAnsi"/>
                <w:b/>
              </w:rPr>
            </w:pPr>
            <w:r w:rsidRPr="008E3A55">
              <w:rPr>
                <w:rFonts w:cstheme="minorHAnsi"/>
                <w:b/>
              </w:rPr>
              <w:t>Does</w:t>
            </w:r>
            <w:r w:rsidR="0010726B" w:rsidRPr="008E3A55">
              <w:rPr>
                <w:rFonts w:cstheme="minorHAnsi"/>
                <w:b/>
              </w:rPr>
              <w:t xml:space="preserve"> the ALIRA </w:t>
            </w:r>
            <w:r w:rsidRPr="008E3A55">
              <w:rPr>
                <w:rFonts w:cstheme="minorHAnsi"/>
                <w:b/>
                <w:color w:val="000000"/>
              </w:rPr>
              <w:t>provide</w:t>
            </w:r>
            <w:r w:rsidRPr="008E3A55">
              <w:rPr>
                <w:rFonts w:cstheme="minorHAnsi"/>
                <w:b/>
                <w:color w:val="000000"/>
                <w:spacing w:val="1"/>
              </w:rPr>
              <w:t xml:space="preserve"> </w:t>
            </w:r>
            <w:r w:rsidR="00B404C3" w:rsidRPr="008E3A55">
              <w:rPr>
                <w:rFonts w:cstheme="minorHAnsi"/>
                <w:b/>
                <w:color w:val="000000"/>
              </w:rPr>
              <w:t>expected</w:t>
            </w:r>
            <w:r w:rsidRPr="008E3A55">
              <w:rPr>
                <w:rFonts w:cstheme="minorHAnsi"/>
                <w:b/>
                <w:color w:val="000000"/>
              </w:rPr>
              <w:t xml:space="preserve"> growth targets for</w:t>
            </w:r>
            <w:r w:rsidR="00117050" w:rsidRPr="008E3A55">
              <w:rPr>
                <w:rFonts w:cstheme="minorHAnsi"/>
                <w:b/>
                <w:color w:val="000000"/>
              </w:rPr>
              <w:t xml:space="preserve"> </w:t>
            </w:r>
            <w:r w:rsidRPr="008E3A55">
              <w:rPr>
                <w:rFonts w:cstheme="minorHAnsi"/>
                <w:b/>
                <w:color w:val="000000"/>
              </w:rPr>
              <w:t>students?</w:t>
            </w:r>
            <w:r w:rsidRPr="008E3A55">
              <w:rPr>
                <w:rFonts w:eastAsiaTheme="minorEastAsia" w:cstheme="minorHAnsi"/>
                <w:b/>
              </w:rPr>
              <w:t xml:space="preserve"> </w:t>
            </w:r>
          </w:p>
        </w:tc>
        <w:tc>
          <w:tcPr>
            <w:tcW w:w="7855" w:type="dxa"/>
          </w:tcPr>
          <w:p w14:paraId="15347683" w14:textId="0E66641F" w:rsidR="00EC3289" w:rsidRPr="008E3A55" w:rsidRDefault="00EC3289" w:rsidP="00BD6604">
            <w:pPr>
              <w:pStyle w:val="TableParagraph"/>
              <w:ind w:left="0" w:right="121"/>
              <w:rPr>
                <w:rFonts w:eastAsiaTheme="minorEastAsia" w:cstheme="minorHAnsi"/>
              </w:rPr>
            </w:pPr>
            <w:r w:rsidRPr="008E3A55">
              <w:rPr>
                <w:rFonts w:asciiTheme="minorHAnsi" w:hAnsiTheme="minorHAnsi" w:cstheme="minorHAnsi"/>
              </w:rPr>
              <w:t>No. The ALIRA allows instructors and administrators to identify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benchmarks and appropriate growth based on levels attained at the</w:t>
            </w:r>
            <w:r w:rsidR="00E8651D" w:rsidRPr="008E3A55">
              <w:rPr>
                <w:rFonts w:asciiTheme="minorHAnsi" w:hAnsiTheme="minorHAnsi" w:cstheme="minorHAnsi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beginning and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end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of</w:t>
            </w:r>
            <w:r w:rsidRPr="008E3A5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specific</w:t>
            </w:r>
            <w:r w:rsidRPr="008E3A5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learning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sequences.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More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importantly, based on the flexibility of the score reports, teachers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can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develop</w:t>
            </w:r>
            <w:r w:rsidRPr="008E3A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individual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goals</w:t>
            </w:r>
            <w:r w:rsidRPr="008E3A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for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students</w:t>
            </w:r>
            <w:r w:rsidR="00ED566A">
              <w:rPr>
                <w:rFonts w:asciiTheme="minorHAnsi" w:hAnsiTheme="minorHAnsi" w:cstheme="minorHAnsi"/>
                <w:spacing w:val="-3"/>
              </w:rPr>
              <w:t>.</w:t>
            </w:r>
          </w:p>
        </w:tc>
      </w:tr>
      <w:tr w:rsidR="00EC3289" w:rsidRPr="008E3A55" w14:paraId="1B86BB26" w14:textId="77777777" w:rsidTr="004F482C">
        <w:tc>
          <w:tcPr>
            <w:tcW w:w="3125" w:type="dxa"/>
          </w:tcPr>
          <w:p w14:paraId="30A3635A" w14:textId="0B599D04" w:rsidR="00EC3289" w:rsidRPr="008E3A55" w:rsidRDefault="00EC3289" w:rsidP="00BD6604">
            <w:pPr>
              <w:rPr>
                <w:rFonts w:eastAsiaTheme="minorEastAsia" w:cstheme="minorHAnsi"/>
                <w:b/>
              </w:rPr>
            </w:pPr>
            <w:r w:rsidRPr="008E3A55">
              <w:rPr>
                <w:rFonts w:cstheme="minorHAnsi"/>
                <w:b/>
              </w:rPr>
              <w:t>How can districts use</w:t>
            </w:r>
            <w:r w:rsidR="0010726B" w:rsidRPr="008E3A55">
              <w:rPr>
                <w:rStyle w:val="CommentReference"/>
                <w:b/>
                <w:sz w:val="22"/>
                <w:szCs w:val="22"/>
              </w:rPr>
              <w:t xml:space="preserve"> The ALIRA </w:t>
            </w:r>
            <w:r w:rsidRPr="008E3A55">
              <w:rPr>
                <w:rFonts w:cstheme="minorHAnsi"/>
                <w:b/>
                <w:color w:val="000000"/>
              </w:rPr>
              <w:t>to determine end</w:t>
            </w:r>
            <w:r w:rsidR="00FF6166">
              <w:rPr>
                <w:rFonts w:cstheme="minorHAnsi"/>
                <w:b/>
                <w:color w:val="000000"/>
              </w:rPr>
              <w:t>-</w:t>
            </w:r>
            <w:r w:rsidRPr="008E3A55">
              <w:rPr>
                <w:rFonts w:cstheme="minorHAnsi"/>
                <w:b/>
                <w:color w:val="000000"/>
              </w:rPr>
              <w:t>of</w:t>
            </w:r>
            <w:r w:rsidR="00FF6166">
              <w:rPr>
                <w:rFonts w:cstheme="minorHAnsi"/>
                <w:b/>
                <w:color w:val="000000"/>
              </w:rPr>
              <w:t>-</w:t>
            </w:r>
            <w:r w:rsidRPr="008E3A55">
              <w:rPr>
                <w:rFonts w:cstheme="minorHAnsi"/>
                <w:b/>
                <w:color w:val="000000"/>
              </w:rPr>
              <w:t>year</w:t>
            </w:r>
            <w:r w:rsidR="00D43764">
              <w:rPr>
                <w:rFonts w:cstheme="minorHAnsi"/>
                <w:b/>
                <w:color w:val="000000"/>
              </w:rPr>
              <w:t xml:space="preserve"> </w:t>
            </w:r>
            <w:r w:rsidRPr="008E3A55">
              <w:rPr>
                <w:rFonts w:cstheme="minorHAnsi"/>
                <w:b/>
                <w:color w:val="000000"/>
              </w:rPr>
              <w:t>student growth for purposes of</w:t>
            </w:r>
            <w:r w:rsidR="00E9390C">
              <w:rPr>
                <w:rFonts w:cstheme="minorHAnsi"/>
                <w:b/>
                <w:color w:val="000000"/>
                <w:spacing w:val="-47"/>
              </w:rPr>
              <w:t xml:space="preserve">    </w:t>
            </w:r>
            <w:r w:rsidRPr="008E3A55">
              <w:rPr>
                <w:rFonts w:cstheme="minorHAnsi"/>
                <w:b/>
                <w:color w:val="000000"/>
              </w:rPr>
              <w:t>TIA?</w:t>
            </w:r>
          </w:p>
        </w:tc>
        <w:tc>
          <w:tcPr>
            <w:tcW w:w="7855" w:type="dxa"/>
          </w:tcPr>
          <w:p w14:paraId="11CEC7EC" w14:textId="1D6A1EF2" w:rsidR="00E408A3" w:rsidRPr="008E3A55" w:rsidRDefault="00E408A3" w:rsidP="00BD6604">
            <w:pPr>
              <w:rPr>
                <w:rFonts w:cstheme="minorHAnsi"/>
              </w:rPr>
            </w:pPr>
            <w:r w:rsidRPr="73B54310">
              <w:t xml:space="preserve">Districts can give the </w:t>
            </w:r>
            <w:r w:rsidR="00D845BE" w:rsidRPr="73B54310">
              <w:t>ALIRA</w:t>
            </w:r>
            <w:r w:rsidRPr="73B54310">
              <w:t xml:space="preserve"> as a pre-test to get a baseline for student growth progress.</w:t>
            </w:r>
            <w:r w:rsidR="00E9390C">
              <w:t xml:space="preserve"> </w:t>
            </w:r>
            <w:r w:rsidRPr="73B54310">
              <w:t xml:space="preserve">Districts could define expected growth as moving up </w:t>
            </w:r>
            <w:r w:rsidR="003823F3" w:rsidRPr="73B54310">
              <w:t>a specific number of performance</w:t>
            </w:r>
            <w:r w:rsidRPr="73B54310">
              <w:t xml:space="preserve"> bands. For instance, </w:t>
            </w:r>
            <w:r w:rsidR="003823F3" w:rsidRPr="73B54310">
              <w:t xml:space="preserve">a district could determine that expected growth is defined as moving up two performance bands. In this case, </w:t>
            </w:r>
            <w:r w:rsidRPr="73B54310">
              <w:t>if a student started the year at the N-1 Performance Score and then scored N-3 on the post-test</w:t>
            </w:r>
            <w:r w:rsidR="003823F3" w:rsidRPr="73B54310">
              <w:t>,</w:t>
            </w:r>
            <w:r w:rsidRPr="73B54310">
              <w:t xml:space="preserve"> they would have moved up two bands</w:t>
            </w:r>
            <w:r w:rsidR="003823F3" w:rsidRPr="73B54310">
              <w:t>,</w:t>
            </w:r>
            <w:r w:rsidRPr="73B54310">
              <w:t xml:space="preserve"> thereby showing growth per the district’s definition. </w:t>
            </w:r>
            <w:r w:rsidR="003823F3" w:rsidRPr="73B54310">
              <w:t>It is up to the district to decide what constitutes expected growth.</w:t>
            </w:r>
          </w:p>
          <w:p w14:paraId="0E16EA6D" w14:textId="5F9C3EAE" w:rsidR="00BC4DD4" w:rsidRPr="008E3A55" w:rsidRDefault="73B54310" w:rsidP="00BD6604">
            <w:pPr>
              <w:spacing w:after="0"/>
              <w:jc w:val="center"/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A39E75E" wp14:editId="3C45BC2A">
                  <wp:extent cx="2806811" cy="2000677"/>
                  <wp:effectExtent l="0" t="0" r="0" b="0"/>
                  <wp:docPr id="1259349579" name="Picture 125934957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49579" name="Picture 125934957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884" cy="201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AA774" w14:textId="3B87BB6D" w:rsidR="00812126" w:rsidRPr="008E3A55" w:rsidRDefault="009205EC" w:rsidP="00BD6604">
            <w:pPr>
              <w:spacing w:after="0"/>
              <w:rPr>
                <w:rFonts w:eastAsiaTheme="minorEastAsia" w:cstheme="minorHAnsi"/>
                <w:lang w:val="en"/>
              </w:rPr>
            </w:pPr>
            <w:r w:rsidRPr="008E3A55">
              <w:rPr>
                <w:rFonts w:cstheme="minorHAnsi"/>
                <w:highlight w:val="yellow"/>
                <w:lang w:val="en"/>
              </w:rPr>
              <w:t>For the purposes of TIA</w:t>
            </w:r>
            <w:r w:rsidR="003145C2">
              <w:rPr>
                <w:rFonts w:cstheme="minorHAnsi"/>
                <w:highlight w:val="yellow"/>
                <w:lang w:val="en"/>
              </w:rPr>
              <w:t>,</w:t>
            </w:r>
            <w:r w:rsidRPr="008E3A55">
              <w:rPr>
                <w:rFonts w:cstheme="minorHAnsi"/>
                <w:highlight w:val="yellow"/>
                <w:lang w:val="en"/>
              </w:rPr>
              <w:t xml:space="preserve"> districts could use option 4 with a </w:t>
            </w:r>
            <w:r w:rsidR="00D43764">
              <w:rPr>
                <w:rFonts w:cstheme="minorHAnsi"/>
                <w:highlight w:val="yellow"/>
                <w:lang w:val="en"/>
              </w:rPr>
              <w:t>district-created</w:t>
            </w:r>
            <w:r w:rsidRPr="008E3A55">
              <w:rPr>
                <w:rFonts w:cstheme="minorHAnsi"/>
                <w:highlight w:val="yellow"/>
                <w:lang w:val="en"/>
              </w:rPr>
              <w:t xml:space="preserve"> pre-test, district set growth targets, and 3</w:t>
            </w:r>
            <w:r w:rsidRPr="008E3A55">
              <w:rPr>
                <w:rFonts w:cstheme="minorHAnsi"/>
                <w:highlight w:val="yellow"/>
                <w:vertAlign w:val="superscript"/>
                <w:lang w:val="en"/>
              </w:rPr>
              <w:t>rd</w:t>
            </w:r>
            <w:r w:rsidRPr="008E3A55">
              <w:rPr>
                <w:rFonts w:cstheme="minorHAnsi"/>
                <w:highlight w:val="yellow"/>
                <w:lang w:val="en"/>
              </w:rPr>
              <w:t xml:space="preserve"> party </w:t>
            </w:r>
            <w:r w:rsidR="000033E5" w:rsidRPr="008E3A55">
              <w:rPr>
                <w:rFonts w:cstheme="minorHAnsi"/>
                <w:highlight w:val="yellow"/>
                <w:lang w:val="en"/>
              </w:rPr>
              <w:t>post-test</w:t>
            </w:r>
            <w:r w:rsidR="00906C54" w:rsidRPr="008E3A55">
              <w:rPr>
                <w:rFonts w:cstheme="minorHAnsi"/>
                <w:highlight w:val="yellow"/>
                <w:lang w:val="en"/>
              </w:rPr>
              <w:t xml:space="preserve"> or option 2 with 3</w:t>
            </w:r>
            <w:r w:rsidR="00906C54" w:rsidRPr="008E3A55">
              <w:rPr>
                <w:rFonts w:cstheme="minorHAnsi"/>
                <w:highlight w:val="yellow"/>
                <w:vertAlign w:val="superscript"/>
                <w:lang w:val="en"/>
              </w:rPr>
              <w:t>rd</w:t>
            </w:r>
            <w:r w:rsidR="00906C54" w:rsidRPr="008E3A55">
              <w:rPr>
                <w:rFonts w:cstheme="minorHAnsi"/>
                <w:highlight w:val="yellow"/>
                <w:lang w:val="en"/>
              </w:rPr>
              <w:t xml:space="preserve"> party </w:t>
            </w:r>
            <w:r w:rsidR="000033E5" w:rsidRPr="008E3A55">
              <w:rPr>
                <w:rFonts w:cstheme="minorHAnsi"/>
                <w:highlight w:val="yellow"/>
                <w:lang w:val="en"/>
              </w:rPr>
              <w:t>pre-test</w:t>
            </w:r>
            <w:r w:rsidR="00906C54" w:rsidRPr="008E3A55">
              <w:rPr>
                <w:rFonts w:cstheme="minorHAnsi"/>
                <w:highlight w:val="yellow"/>
                <w:lang w:val="en"/>
              </w:rPr>
              <w:t xml:space="preserve"> with district set growth targets and </w:t>
            </w:r>
            <w:r w:rsidR="00036332" w:rsidRPr="008E3A55">
              <w:rPr>
                <w:rFonts w:cstheme="minorHAnsi"/>
                <w:highlight w:val="yellow"/>
                <w:lang w:val="en"/>
              </w:rPr>
              <w:t>a 3</w:t>
            </w:r>
            <w:r w:rsidR="00036332" w:rsidRPr="008E3A55">
              <w:rPr>
                <w:rFonts w:cstheme="minorHAnsi"/>
                <w:highlight w:val="yellow"/>
                <w:vertAlign w:val="superscript"/>
                <w:lang w:val="en"/>
              </w:rPr>
              <w:t>rd</w:t>
            </w:r>
            <w:r w:rsidR="00036332" w:rsidRPr="008E3A55">
              <w:rPr>
                <w:rFonts w:cstheme="minorHAnsi"/>
                <w:highlight w:val="yellow"/>
                <w:lang w:val="en"/>
              </w:rPr>
              <w:t xml:space="preserve"> part</w:t>
            </w:r>
            <w:r w:rsidR="00CB7B3D" w:rsidRPr="008E3A55">
              <w:rPr>
                <w:rFonts w:cstheme="minorHAnsi"/>
                <w:highlight w:val="yellow"/>
                <w:lang w:val="en"/>
              </w:rPr>
              <w:t>y</w:t>
            </w:r>
            <w:r w:rsidR="00036332" w:rsidRPr="008E3A55">
              <w:rPr>
                <w:rFonts w:cstheme="minorHAnsi"/>
                <w:highlight w:val="yellow"/>
                <w:lang w:val="en"/>
              </w:rPr>
              <w:t xml:space="preserve"> </w:t>
            </w:r>
            <w:r w:rsidR="000033E5" w:rsidRPr="008E3A55">
              <w:rPr>
                <w:rFonts w:cstheme="minorHAnsi"/>
                <w:highlight w:val="yellow"/>
                <w:lang w:val="en"/>
              </w:rPr>
              <w:t>post</w:t>
            </w:r>
            <w:r w:rsidR="00D84CBF" w:rsidRPr="008E3A55">
              <w:rPr>
                <w:rFonts w:cstheme="minorHAnsi"/>
                <w:highlight w:val="yellow"/>
                <w:lang w:val="en"/>
              </w:rPr>
              <w:t>-test.</w:t>
            </w:r>
            <w:r w:rsidR="00036332" w:rsidRPr="008E3A55">
              <w:rPr>
                <w:rFonts w:cstheme="minorHAnsi"/>
                <w:lang w:val="en"/>
              </w:rPr>
              <w:t xml:space="preserve"> </w:t>
            </w:r>
          </w:p>
        </w:tc>
      </w:tr>
      <w:tr w:rsidR="00EC3289" w:rsidRPr="008E3A55" w14:paraId="1FB9B7C1" w14:textId="77777777" w:rsidTr="004F482C">
        <w:tc>
          <w:tcPr>
            <w:tcW w:w="3125" w:type="dxa"/>
          </w:tcPr>
          <w:p w14:paraId="1AC66883" w14:textId="696D0811" w:rsidR="00EC3289" w:rsidRPr="008E3A55" w:rsidRDefault="00EC3289" w:rsidP="00BD6604">
            <w:pPr>
              <w:rPr>
                <w:rFonts w:eastAsiaTheme="minorEastAsia" w:cstheme="minorHAnsi"/>
                <w:b/>
                <w:bCs/>
                <w:lang w:val="en"/>
              </w:rPr>
            </w:pPr>
            <w:r w:rsidRPr="008E3A55">
              <w:rPr>
                <w:rFonts w:cstheme="minorHAnsi"/>
                <w:b/>
              </w:rPr>
              <w:lastRenderedPageBreak/>
              <w:t>What types of data reporting</w:t>
            </w:r>
            <w:r w:rsidRPr="008E3A55">
              <w:rPr>
                <w:rFonts w:cstheme="minorHAnsi"/>
                <w:b/>
                <w:spacing w:val="-47"/>
              </w:rPr>
              <w:t xml:space="preserve"> </w:t>
            </w:r>
            <w:r w:rsidRPr="008E3A55">
              <w:rPr>
                <w:rFonts w:cstheme="minorHAnsi"/>
                <w:b/>
              </w:rPr>
              <w:t>capabilities are included wit</w:t>
            </w:r>
            <w:r w:rsidR="000D3D0F" w:rsidRPr="008E3A55">
              <w:rPr>
                <w:rFonts w:cstheme="minorHAnsi"/>
                <w:b/>
              </w:rPr>
              <w:t>h the ALIRA?</w:t>
            </w:r>
          </w:p>
        </w:tc>
        <w:tc>
          <w:tcPr>
            <w:tcW w:w="7855" w:type="dxa"/>
          </w:tcPr>
          <w:p w14:paraId="5FC18FE2" w14:textId="1422EEE2" w:rsidR="00EC3289" w:rsidRPr="008E3A55" w:rsidRDefault="00EC3289" w:rsidP="00BD6604">
            <w:pPr>
              <w:pStyle w:val="TableParagraph"/>
              <w:ind w:left="0" w:right="144"/>
              <w:rPr>
                <w:rFonts w:asciiTheme="minorHAnsi" w:hAnsiTheme="minorHAnsi" w:cstheme="minorHAnsi"/>
              </w:rPr>
            </w:pPr>
            <w:r w:rsidRPr="008E3A55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ALIRA client accounts can be set up with a hierarchy structure that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provides appropriate data reporting functionality to each level, for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example, a teacher can see his/her own students’ data</w:t>
            </w:r>
            <w:r w:rsidR="005F71AE">
              <w:rPr>
                <w:rFonts w:asciiTheme="minorHAnsi" w:hAnsiTheme="minorHAnsi" w:cstheme="minorHAnsi"/>
              </w:rPr>
              <w:t>,</w:t>
            </w:r>
            <w:r w:rsidRPr="008E3A55">
              <w:rPr>
                <w:rFonts w:asciiTheme="minorHAnsi" w:hAnsiTheme="minorHAnsi" w:cstheme="minorHAnsi"/>
              </w:rPr>
              <w:t xml:space="preserve"> whereas a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 xml:space="preserve">principal or </w:t>
            </w:r>
            <w:r w:rsidR="002E6834">
              <w:rPr>
                <w:rFonts w:asciiTheme="minorHAnsi" w:hAnsiTheme="minorHAnsi" w:cstheme="minorHAnsi"/>
              </w:rPr>
              <w:t>district</w:t>
            </w:r>
            <w:r w:rsidRPr="008E3A55">
              <w:rPr>
                <w:rFonts w:asciiTheme="minorHAnsi" w:hAnsiTheme="minorHAnsi" w:cstheme="minorHAnsi"/>
              </w:rPr>
              <w:t xml:space="preserve"> administrator can see the data for all students in</w:t>
            </w:r>
            <w:r w:rsidRPr="008E3A5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the school</w:t>
            </w:r>
            <w:r w:rsidR="002E6834">
              <w:rPr>
                <w:rFonts w:asciiTheme="minorHAnsi" w:hAnsiTheme="minorHAnsi" w:cstheme="minorHAnsi"/>
              </w:rPr>
              <w:t>/district.</w:t>
            </w:r>
            <w:r w:rsidRPr="008E3A55">
              <w:rPr>
                <w:rFonts w:asciiTheme="minorHAnsi" w:hAnsiTheme="minorHAnsi" w:cstheme="minorHAnsi"/>
              </w:rPr>
              <w:t xml:space="preserve"> Client Site users can export a variety of test result details to Excel</w:t>
            </w:r>
            <w:r w:rsidRPr="008E3A5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through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the</w:t>
            </w:r>
            <w:r w:rsidRPr="008E3A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Test</w:t>
            </w:r>
            <w:r w:rsidRPr="008E3A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Status</w:t>
            </w:r>
            <w:r w:rsidRPr="008E3A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and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Reporting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modules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to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facilitate</w:t>
            </w:r>
            <w:r w:rsidRPr="008E3A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viewing</w:t>
            </w:r>
            <w:r w:rsidR="008E3A55">
              <w:rPr>
                <w:rFonts w:asciiTheme="minorHAnsi" w:hAnsiTheme="minorHAnsi" w:cstheme="minorHAnsi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students’</w:t>
            </w:r>
            <w:r w:rsidRPr="008E3A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progress</w:t>
            </w:r>
            <w:r w:rsidRPr="008E3A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and</w:t>
            </w:r>
            <w:r w:rsidRPr="008E3A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3A55">
              <w:rPr>
                <w:rFonts w:asciiTheme="minorHAnsi" w:hAnsiTheme="minorHAnsi" w:cstheme="minorHAnsi"/>
              </w:rPr>
              <w:t>growth.</w:t>
            </w:r>
          </w:p>
        </w:tc>
      </w:tr>
    </w:tbl>
    <w:p w14:paraId="3FA9B357" w14:textId="77777777" w:rsidR="001C7C6B" w:rsidRDefault="001C7C6B" w:rsidP="00B060C4">
      <w:pPr>
        <w:spacing w:after="0" w:line="257" w:lineRule="auto"/>
        <w:rPr>
          <w:rFonts w:ascii="Calibri" w:eastAsia="Calibri" w:hAnsi="Calibri" w:cs="Calibri"/>
        </w:rPr>
      </w:pPr>
    </w:p>
    <w:p w14:paraId="3842CBBF" w14:textId="2F2BD57C" w:rsidR="2CD0B4D6" w:rsidRPr="008E3A55" w:rsidRDefault="2CD0B4D6" w:rsidP="001C7C6B">
      <w:pPr>
        <w:spacing w:after="0" w:line="360" w:lineRule="auto"/>
      </w:pPr>
      <w:r w:rsidRPr="008E3A55">
        <w:rPr>
          <w:rFonts w:ascii="Calibri" w:eastAsia="Calibri" w:hAnsi="Calibri" w:cs="Calibri"/>
        </w:rPr>
        <w:t xml:space="preserve">For more information on this resource please refer to the vendor website and reach out to a representative. </w:t>
      </w:r>
    </w:p>
    <w:p w14:paraId="1A93E3A5" w14:textId="6C51DA68" w:rsidR="2CD0B4D6" w:rsidRPr="008E3A55" w:rsidRDefault="2CD0B4D6" w:rsidP="001C7C6B">
      <w:pPr>
        <w:spacing w:after="0" w:line="360" w:lineRule="auto"/>
      </w:pPr>
      <w:r w:rsidRPr="008E3A55">
        <w:rPr>
          <w:rFonts w:ascii="Calibri" w:eastAsia="Calibri" w:hAnsi="Calibri" w:cs="Calibri"/>
        </w:rPr>
        <w:t xml:space="preserve">Vendor Website: </w:t>
      </w:r>
      <w:hyperlink r:id="rId13">
        <w:r w:rsidRPr="008E3A55">
          <w:rPr>
            <w:rStyle w:val="Hyperlink"/>
            <w:rFonts w:ascii="Calibri" w:eastAsia="Calibri" w:hAnsi="Calibri" w:cs="Calibri"/>
          </w:rPr>
          <w:t>https://www.actfl.org</w:t>
        </w:r>
      </w:hyperlink>
    </w:p>
    <w:p w14:paraId="34144253" w14:textId="50B95B46" w:rsidR="2CD0B4D6" w:rsidRDefault="2CD0B4D6" w:rsidP="001C7C6B">
      <w:pPr>
        <w:spacing w:after="0" w:line="360" w:lineRule="auto"/>
        <w:rPr>
          <w:rStyle w:val="Hyperlink"/>
          <w:rFonts w:ascii="Calibri" w:eastAsia="Calibri" w:hAnsi="Calibri" w:cs="Calibri"/>
        </w:rPr>
      </w:pPr>
      <w:r w:rsidRPr="008E3A55">
        <w:rPr>
          <w:rFonts w:ascii="Calibri" w:eastAsia="Calibri" w:hAnsi="Calibri" w:cs="Calibri"/>
        </w:rPr>
        <w:t xml:space="preserve">Vendor Contact: Margaret Malone, </w:t>
      </w:r>
      <w:hyperlink r:id="rId14">
        <w:r w:rsidRPr="008E3A55">
          <w:rPr>
            <w:rStyle w:val="Hyperlink"/>
            <w:rFonts w:ascii="Calibri" w:eastAsia="Calibri" w:hAnsi="Calibri" w:cs="Calibri"/>
          </w:rPr>
          <w:t>mmalone@actfl.org</w:t>
        </w:r>
      </w:hyperlink>
    </w:p>
    <w:p w14:paraId="7E205FC9" w14:textId="7D08FD40" w:rsidR="2CD0B4D6" w:rsidRPr="008E3A55" w:rsidRDefault="007148CF" w:rsidP="001C7C6B">
      <w:pPr>
        <w:spacing w:after="0" w:line="360" w:lineRule="auto"/>
      </w:pPr>
      <w:r w:rsidRPr="008E3A55">
        <w:rPr>
          <w:rFonts w:eastAsiaTheme="minorEastAsia" w:cstheme="minorHAnsi"/>
          <w:color w:val="000000" w:themeColor="text1"/>
          <w:lang w:val="en"/>
        </w:rPr>
        <w:t xml:space="preserve">For more information on the Teacher Incentive Allotment, please visit the </w:t>
      </w:r>
      <w:hyperlink r:id="rId15">
        <w:r w:rsidRPr="008E3A55">
          <w:rPr>
            <w:rStyle w:val="Hyperlink"/>
            <w:rFonts w:eastAsiaTheme="minorEastAsia" w:cstheme="minorHAnsi"/>
            <w:lang w:val="en"/>
          </w:rPr>
          <w:t>Teacher Incentive Allotment website.</w:t>
        </w:r>
      </w:hyperlink>
    </w:p>
    <w:p w14:paraId="6432FD52" w14:textId="77777777" w:rsidR="00BD3AF5" w:rsidRPr="008E3A55" w:rsidRDefault="00BD3AF5" w:rsidP="00EC3289"/>
    <w:sectPr w:rsidR="00BD3AF5" w:rsidRPr="008E3A55" w:rsidSect="00EC32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B99E" w14:textId="77777777" w:rsidR="00F873C2" w:rsidRDefault="00F873C2" w:rsidP="0012010E">
      <w:pPr>
        <w:spacing w:after="0" w:line="240" w:lineRule="auto"/>
      </w:pPr>
      <w:r>
        <w:separator/>
      </w:r>
    </w:p>
  </w:endnote>
  <w:endnote w:type="continuationSeparator" w:id="0">
    <w:p w14:paraId="6915DC53" w14:textId="77777777" w:rsidR="00F873C2" w:rsidRDefault="00F873C2" w:rsidP="0012010E">
      <w:pPr>
        <w:spacing w:after="0" w:line="240" w:lineRule="auto"/>
      </w:pPr>
      <w:r>
        <w:continuationSeparator/>
      </w:r>
    </w:p>
  </w:endnote>
  <w:endnote w:type="continuationNotice" w:id="1">
    <w:p w14:paraId="029C6B99" w14:textId="77777777" w:rsidR="00F873C2" w:rsidRDefault="00F87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A339" w14:textId="77777777" w:rsidR="00165C36" w:rsidRDefault="00165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74DC66FB" w:rsidR="0012010E" w:rsidRDefault="003355FA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F3F0EBA" wp14:editId="18FBADD0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2437130" cy="555625"/>
          <wp:effectExtent l="0" t="0" r="127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7BE1F" wp14:editId="4667B068">
              <wp:simplePos x="0" y="0"/>
              <wp:positionH relativeFrom="margin">
                <wp:posOffset>-1685925</wp:posOffset>
              </wp:positionH>
              <wp:positionV relativeFrom="paragraph">
                <wp:posOffset>-911860</wp:posOffset>
              </wp:positionV>
              <wp:extent cx="9313545" cy="45085"/>
              <wp:effectExtent l="0" t="0" r="1905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D8C7445" id="Rectangle 8" o:spid="_x0000_s1026" alt="&quot;&quot;" style="position:absolute;margin-left:-132.75pt;margin-top:-71.8pt;width:733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" fillcolor="#f16038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BF61" w14:textId="76C7B08A" w:rsidR="00E16E45" w:rsidRDefault="00FB25C2">
    <w:pPr>
      <w:pStyle w:val="Footer"/>
    </w:pPr>
    <w:r w:rsidRPr="00FB25C2">
      <w:rPr>
        <w:noProof/>
      </w:rPr>
      <w:drawing>
        <wp:anchor distT="0" distB="0" distL="114300" distR="114300" simplePos="0" relativeHeight="251658242" behindDoc="0" locked="0" layoutInCell="1" allowOverlap="1" wp14:anchorId="763B0991" wp14:editId="340C5572">
          <wp:simplePos x="0" y="0"/>
          <wp:positionH relativeFrom="margin">
            <wp:align>center</wp:align>
          </wp:positionH>
          <wp:positionV relativeFrom="paragraph">
            <wp:posOffset>-708025</wp:posOffset>
          </wp:positionV>
          <wp:extent cx="1102995" cy="542290"/>
          <wp:effectExtent l="0" t="0" r="1905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5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C7A38" wp14:editId="3B0DD3A2">
              <wp:simplePos x="0" y="0"/>
              <wp:positionH relativeFrom="margin">
                <wp:posOffset>-1685290</wp:posOffset>
              </wp:positionH>
              <wp:positionV relativeFrom="paragraph">
                <wp:posOffset>-925830</wp:posOffset>
              </wp:positionV>
              <wp:extent cx="9313545" cy="45085"/>
              <wp:effectExtent l="0" t="0" r="1905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8508C52" id="Rectangle 12" o:spid="_x0000_s1026" alt="&quot;&quot;" style="position:absolute;margin-left:-132.7pt;margin-top:-72.9pt;width:733.35pt;height:3.55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BDB8" w14:textId="77777777" w:rsidR="00F873C2" w:rsidRDefault="00F873C2" w:rsidP="0012010E">
      <w:pPr>
        <w:spacing w:after="0" w:line="240" w:lineRule="auto"/>
      </w:pPr>
      <w:r>
        <w:separator/>
      </w:r>
    </w:p>
  </w:footnote>
  <w:footnote w:type="continuationSeparator" w:id="0">
    <w:p w14:paraId="64F04AE1" w14:textId="77777777" w:rsidR="00F873C2" w:rsidRDefault="00F873C2" w:rsidP="0012010E">
      <w:pPr>
        <w:spacing w:after="0" w:line="240" w:lineRule="auto"/>
      </w:pPr>
      <w:r>
        <w:continuationSeparator/>
      </w:r>
    </w:p>
  </w:footnote>
  <w:footnote w:type="continuationNotice" w:id="1">
    <w:p w14:paraId="43723455" w14:textId="77777777" w:rsidR="00F873C2" w:rsidRDefault="00F87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9134" w14:textId="77777777" w:rsidR="00165C36" w:rsidRDefault="00165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4798" w14:textId="77777777" w:rsidR="00165C36" w:rsidRDefault="00165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16BC" w14:textId="41DF4A89" w:rsidR="002F2B76" w:rsidRDefault="002F2B76" w:rsidP="002F2B76">
    <w:pPr>
      <w:pStyle w:val="Header"/>
    </w:pPr>
  </w:p>
  <w:p w14:paraId="6AAE7375" w14:textId="4FF2F9E6" w:rsidR="00E16E45" w:rsidRDefault="00775E3D">
    <w:pPr>
      <w:pStyle w:val="Header"/>
    </w:pPr>
    <w:r w:rsidRPr="00E9574A">
      <w:rPr>
        <w:noProof/>
      </w:rPr>
      <w:drawing>
        <wp:anchor distT="0" distB="0" distL="114300" distR="114300" simplePos="0" relativeHeight="251660296" behindDoc="0" locked="0" layoutInCell="1" allowOverlap="1" wp14:anchorId="34F30DF4" wp14:editId="5A507CC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454785" cy="67183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61320" behindDoc="0" locked="0" layoutInCell="1" allowOverlap="1" wp14:anchorId="05D5D309" wp14:editId="0A47B532">
              <wp:simplePos x="0" y="0"/>
              <wp:positionH relativeFrom="column">
                <wp:posOffset>1617980</wp:posOffset>
              </wp:positionH>
              <wp:positionV relativeFrom="paragraph">
                <wp:posOffset>128905</wp:posOffset>
              </wp:positionV>
              <wp:extent cx="5274945" cy="156845"/>
              <wp:effectExtent l="0" t="0" r="190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945" cy="1568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24C4DE" id="Rectangle 3" o:spid="_x0000_s1026" alt="&quot;&quot;" style="position:absolute;margin-left:127.4pt;margin-top:10.15pt;width:415.35pt;height:12.35pt;z-index:251661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" fillcolor="#00a69b [3204]" stroked="f" strokeweight="1pt"/>
          </w:pict>
        </mc:Fallback>
      </mc:AlternateContent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62344" behindDoc="0" locked="0" layoutInCell="1" allowOverlap="1" wp14:anchorId="6392F99C" wp14:editId="7BFEEE37">
              <wp:simplePos x="0" y="0"/>
              <wp:positionH relativeFrom="column">
                <wp:posOffset>1617980</wp:posOffset>
              </wp:positionH>
              <wp:positionV relativeFrom="paragraph">
                <wp:posOffset>320040</wp:posOffset>
              </wp:positionV>
              <wp:extent cx="3861435" cy="156845"/>
              <wp:effectExtent l="0" t="0" r="5715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1435" cy="15684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2B3603" id="Rectangle 9" o:spid="_x0000_s1026" alt="&quot;&quot;" style="position:absolute;margin-left:127.4pt;margin-top:25.2pt;width:304.05pt;height:12.35pt;z-index:251662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" fillcolor="#87c54a [3207]" stroked="f" strokeweight="1pt"/>
          </w:pict>
        </mc:Fallback>
      </mc:AlternateContent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63368" behindDoc="0" locked="0" layoutInCell="1" allowOverlap="1" wp14:anchorId="50BDF3A3" wp14:editId="7E05B6E0">
              <wp:simplePos x="0" y="0"/>
              <wp:positionH relativeFrom="column">
                <wp:posOffset>1617980</wp:posOffset>
              </wp:positionH>
              <wp:positionV relativeFrom="paragraph">
                <wp:posOffset>514350</wp:posOffset>
              </wp:positionV>
              <wp:extent cx="2856865" cy="156845"/>
              <wp:effectExtent l="0" t="0" r="635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6865" cy="1568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514A0C" id="Rectangle 10" o:spid="_x0000_s1026" alt="&quot;&quot;" style="position:absolute;margin-left:127.4pt;margin-top:40.5pt;width:224.95pt;height:12.35pt;z-index:251663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" fillcolor="#f8cc2b [3208]" stroked="f" strokeweight="1pt"/>
          </w:pict>
        </mc:Fallback>
      </mc:AlternateContent>
    </w:r>
    <w:r w:rsidR="00D70D70" w:rsidRPr="00E9574A">
      <w:rPr>
        <w:noProof/>
      </w:rPr>
      <mc:AlternateContent>
        <mc:Choice Requires="wps">
          <w:drawing>
            <wp:anchor distT="0" distB="0" distL="114300" distR="114300" simplePos="0" relativeHeight="251664392" behindDoc="0" locked="0" layoutInCell="1" allowOverlap="1" wp14:anchorId="71AB1E5B" wp14:editId="5CD00994">
              <wp:simplePos x="0" y="0"/>
              <wp:positionH relativeFrom="column">
                <wp:posOffset>5426710</wp:posOffset>
              </wp:positionH>
              <wp:positionV relativeFrom="paragraph">
                <wp:posOffset>280035</wp:posOffset>
              </wp:positionV>
              <wp:extent cx="1557020" cy="445770"/>
              <wp:effectExtent l="0" t="0" r="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1A7C57" w14:textId="77777777" w:rsidR="002F2B76" w:rsidRPr="00D52F05" w:rsidRDefault="00435E74" w:rsidP="002F2B76">
                          <w:pPr>
                            <w:spacing w:after="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F2B76" w:rsidRPr="00D52F0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TIA@TEA.TEXAS.GOV</w:t>
                            </w:r>
                          </w:hyperlink>
                        </w:p>
                        <w:p w14:paraId="50210313" w14:textId="77777777" w:rsidR="002F2B76" w:rsidRPr="00D52F05" w:rsidRDefault="002F2B76" w:rsidP="002F2B76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52F05">
                            <w:rPr>
                              <w:sz w:val="20"/>
                              <w:szCs w:val="20"/>
                            </w:rPr>
                            <w:t>TIATEXAS.ORG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AB1E5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427.3pt;margin-top:22.05pt;width:122.6pt;height:35.1pt;z-index:251664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zGFAIAACwEAAAOAAAAZHJzL2Uyb0RvYy54bWysU11v2yAUfZ+0/4B4X+xkSdtZcaqsVaZJ&#10;UVspnfpMMMSWgMuAxM5+/S7Y+VC3p2kv+OL7fc5hft9pRQ7C+QZMScejnBJhOFSN2ZX0x+vq0x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" filled="f" stroked="f" strokeweight=".5pt">
              <v:textbox>
                <w:txbxContent>
                  <w:p w14:paraId="611A7C57" w14:textId="77777777" w:rsidR="002F2B76" w:rsidRPr="00D52F05" w:rsidRDefault="00435E74" w:rsidP="002F2B76">
                    <w:pPr>
                      <w:spacing w:after="60"/>
                      <w:jc w:val="right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2F2B76" w:rsidRPr="00D52F0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TIA@TEA.TEXAS.GOV</w:t>
                      </w:r>
                    </w:hyperlink>
                  </w:p>
                  <w:p w14:paraId="50210313" w14:textId="77777777" w:rsidR="002F2B76" w:rsidRPr="00D52F05" w:rsidRDefault="002F2B76" w:rsidP="002F2B76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52F05">
                      <w:rPr>
                        <w:sz w:val="20"/>
                        <w:szCs w:val="20"/>
                      </w:rPr>
                      <w:t>TIATEXAS.ORG</w:t>
                    </w:r>
                  </w:p>
                </w:txbxContent>
              </v:textbox>
            </v:shape>
          </w:pict>
        </mc:Fallback>
      </mc:AlternateContent>
    </w:r>
    <w:r w:rsidR="001613DD">
      <w:softHyphen/>
    </w:r>
    <w:r w:rsidR="001613DD">
      <w:softHyphen/>
    </w:r>
    <w:r w:rsidR="001613D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B28"/>
    <w:multiLevelType w:val="hybridMultilevel"/>
    <w:tmpl w:val="359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2ACB"/>
    <w:multiLevelType w:val="hybridMultilevel"/>
    <w:tmpl w:val="D6FCF9DA"/>
    <w:lvl w:ilvl="0" w:tplc="A962C06A">
      <w:numFmt w:val="bullet"/>
      <w:lvlText w:val="●"/>
      <w:lvlJc w:val="left"/>
      <w:pPr>
        <w:ind w:left="82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5B4DE68"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FB85B00">
      <w:numFmt w:val="bullet"/>
      <w:lvlText w:val="•"/>
      <w:lvlJc w:val="left"/>
      <w:pPr>
        <w:ind w:left="1917" w:hanging="361"/>
      </w:pPr>
      <w:rPr>
        <w:rFonts w:hint="default"/>
      </w:rPr>
    </w:lvl>
    <w:lvl w:ilvl="3" w:tplc="654ECD64">
      <w:numFmt w:val="bullet"/>
      <w:lvlText w:val="•"/>
      <w:lvlJc w:val="left"/>
      <w:pPr>
        <w:ind w:left="2466" w:hanging="361"/>
      </w:pPr>
      <w:rPr>
        <w:rFonts w:hint="default"/>
      </w:rPr>
    </w:lvl>
    <w:lvl w:ilvl="4" w:tplc="1C4E66D2">
      <w:numFmt w:val="bullet"/>
      <w:lvlText w:val="•"/>
      <w:lvlJc w:val="left"/>
      <w:pPr>
        <w:ind w:left="3015" w:hanging="361"/>
      </w:pPr>
      <w:rPr>
        <w:rFonts w:hint="default"/>
      </w:rPr>
    </w:lvl>
    <w:lvl w:ilvl="5" w:tplc="0226A722">
      <w:numFmt w:val="bullet"/>
      <w:lvlText w:val="•"/>
      <w:lvlJc w:val="left"/>
      <w:pPr>
        <w:ind w:left="3564" w:hanging="361"/>
      </w:pPr>
      <w:rPr>
        <w:rFonts w:hint="default"/>
      </w:rPr>
    </w:lvl>
    <w:lvl w:ilvl="6" w:tplc="56209322">
      <w:numFmt w:val="bullet"/>
      <w:lvlText w:val="•"/>
      <w:lvlJc w:val="left"/>
      <w:pPr>
        <w:ind w:left="4113" w:hanging="361"/>
      </w:pPr>
      <w:rPr>
        <w:rFonts w:hint="default"/>
      </w:rPr>
    </w:lvl>
    <w:lvl w:ilvl="7" w:tplc="FA7CF9E2">
      <w:numFmt w:val="bullet"/>
      <w:lvlText w:val="•"/>
      <w:lvlJc w:val="left"/>
      <w:pPr>
        <w:ind w:left="4662" w:hanging="361"/>
      </w:pPr>
      <w:rPr>
        <w:rFonts w:hint="default"/>
      </w:rPr>
    </w:lvl>
    <w:lvl w:ilvl="8" w:tplc="06683BAA">
      <w:numFmt w:val="bullet"/>
      <w:lvlText w:val="•"/>
      <w:lvlJc w:val="left"/>
      <w:pPr>
        <w:ind w:left="5211" w:hanging="361"/>
      </w:pPr>
      <w:rPr>
        <w:rFonts w:hint="default"/>
      </w:rPr>
    </w:lvl>
  </w:abstractNum>
  <w:abstractNum w:abstractNumId="2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D58"/>
    <w:multiLevelType w:val="hybridMultilevel"/>
    <w:tmpl w:val="050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61EB"/>
    <w:multiLevelType w:val="hybridMultilevel"/>
    <w:tmpl w:val="A106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C2430"/>
    <w:multiLevelType w:val="hybridMultilevel"/>
    <w:tmpl w:val="10B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4821"/>
    <w:multiLevelType w:val="hybridMultilevel"/>
    <w:tmpl w:val="A8C03FE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2520">
    <w:abstractNumId w:val="2"/>
  </w:num>
  <w:num w:numId="2" w16cid:durableId="1677466061">
    <w:abstractNumId w:val="3"/>
  </w:num>
  <w:num w:numId="3" w16cid:durableId="1760828422">
    <w:abstractNumId w:val="0"/>
  </w:num>
  <w:num w:numId="4" w16cid:durableId="1222794054">
    <w:abstractNumId w:val="6"/>
  </w:num>
  <w:num w:numId="5" w16cid:durableId="1622147304">
    <w:abstractNumId w:val="1"/>
  </w:num>
  <w:num w:numId="6" w16cid:durableId="681469909">
    <w:abstractNumId w:val="5"/>
  </w:num>
  <w:num w:numId="7" w16cid:durableId="1482431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01F68"/>
    <w:rsid w:val="000033E5"/>
    <w:rsid w:val="000255B9"/>
    <w:rsid w:val="00027771"/>
    <w:rsid w:val="000310F5"/>
    <w:rsid w:val="00036332"/>
    <w:rsid w:val="00040603"/>
    <w:rsid w:val="00086D03"/>
    <w:rsid w:val="0009509A"/>
    <w:rsid w:val="000957EC"/>
    <w:rsid w:val="000D3D0F"/>
    <w:rsid w:val="000D4ACC"/>
    <w:rsid w:val="000E240E"/>
    <w:rsid w:val="0010726B"/>
    <w:rsid w:val="00117050"/>
    <w:rsid w:val="0011715A"/>
    <w:rsid w:val="0012010E"/>
    <w:rsid w:val="001308B6"/>
    <w:rsid w:val="001613DD"/>
    <w:rsid w:val="00162DE6"/>
    <w:rsid w:val="001643F5"/>
    <w:rsid w:val="00165C36"/>
    <w:rsid w:val="00175C41"/>
    <w:rsid w:val="00192EC0"/>
    <w:rsid w:val="001A7693"/>
    <w:rsid w:val="001B6ECE"/>
    <w:rsid w:val="001C7C6B"/>
    <w:rsid w:val="00266180"/>
    <w:rsid w:val="0029615C"/>
    <w:rsid w:val="002B346D"/>
    <w:rsid w:val="002C1F42"/>
    <w:rsid w:val="002D63A3"/>
    <w:rsid w:val="002E6834"/>
    <w:rsid w:val="002F2B76"/>
    <w:rsid w:val="00310686"/>
    <w:rsid w:val="003119BD"/>
    <w:rsid w:val="003145C2"/>
    <w:rsid w:val="003355FA"/>
    <w:rsid w:val="00343A5A"/>
    <w:rsid w:val="00364CB9"/>
    <w:rsid w:val="003748B1"/>
    <w:rsid w:val="003823F3"/>
    <w:rsid w:val="00392647"/>
    <w:rsid w:val="003C664A"/>
    <w:rsid w:val="003D3A67"/>
    <w:rsid w:val="003E2F18"/>
    <w:rsid w:val="004115BA"/>
    <w:rsid w:val="00423815"/>
    <w:rsid w:val="00424832"/>
    <w:rsid w:val="0043316A"/>
    <w:rsid w:val="00435E74"/>
    <w:rsid w:val="00444D22"/>
    <w:rsid w:val="00445945"/>
    <w:rsid w:val="004952E6"/>
    <w:rsid w:val="004B5525"/>
    <w:rsid w:val="004D6215"/>
    <w:rsid w:val="004D69B2"/>
    <w:rsid w:val="004E2201"/>
    <w:rsid w:val="004E3858"/>
    <w:rsid w:val="004E65A8"/>
    <w:rsid w:val="004F482C"/>
    <w:rsid w:val="00536805"/>
    <w:rsid w:val="00555CA1"/>
    <w:rsid w:val="00593E07"/>
    <w:rsid w:val="005B6C7E"/>
    <w:rsid w:val="005D4F86"/>
    <w:rsid w:val="005F23E4"/>
    <w:rsid w:val="005F71AE"/>
    <w:rsid w:val="00605E51"/>
    <w:rsid w:val="006079BE"/>
    <w:rsid w:val="00607C76"/>
    <w:rsid w:val="0061734C"/>
    <w:rsid w:val="00630A6D"/>
    <w:rsid w:val="00646611"/>
    <w:rsid w:val="00675E43"/>
    <w:rsid w:val="0068353F"/>
    <w:rsid w:val="006B6AF5"/>
    <w:rsid w:val="00710CE8"/>
    <w:rsid w:val="007148CF"/>
    <w:rsid w:val="0071683B"/>
    <w:rsid w:val="007205F0"/>
    <w:rsid w:val="00775E3D"/>
    <w:rsid w:val="007818AF"/>
    <w:rsid w:val="007B2B4B"/>
    <w:rsid w:val="007C344D"/>
    <w:rsid w:val="007D5EA3"/>
    <w:rsid w:val="007E6D24"/>
    <w:rsid w:val="007F0D34"/>
    <w:rsid w:val="007F1D1D"/>
    <w:rsid w:val="007F7DA2"/>
    <w:rsid w:val="008059C6"/>
    <w:rsid w:val="00812126"/>
    <w:rsid w:val="00847B2C"/>
    <w:rsid w:val="00852C80"/>
    <w:rsid w:val="008B512D"/>
    <w:rsid w:val="008D4C32"/>
    <w:rsid w:val="008E3A55"/>
    <w:rsid w:val="008E5C31"/>
    <w:rsid w:val="00906C54"/>
    <w:rsid w:val="009205EC"/>
    <w:rsid w:val="009208C4"/>
    <w:rsid w:val="0093212E"/>
    <w:rsid w:val="0094377B"/>
    <w:rsid w:val="00966B3E"/>
    <w:rsid w:val="00985D1A"/>
    <w:rsid w:val="009F0A83"/>
    <w:rsid w:val="00A073D7"/>
    <w:rsid w:val="00A14B02"/>
    <w:rsid w:val="00A56EB7"/>
    <w:rsid w:val="00A8001F"/>
    <w:rsid w:val="00AE1C90"/>
    <w:rsid w:val="00AF0EFA"/>
    <w:rsid w:val="00B060C4"/>
    <w:rsid w:val="00B12DC1"/>
    <w:rsid w:val="00B22AD1"/>
    <w:rsid w:val="00B404C3"/>
    <w:rsid w:val="00B47A19"/>
    <w:rsid w:val="00B6588B"/>
    <w:rsid w:val="00B92374"/>
    <w:rsid w:val="00BC4DD4"/>
    <w:rsid w:val="00BC7346"/>
    <w:rsid w:val="00BD3AF5"/>
    <w:rsid w:val="00BD42F2"/>
    <w:rsid w:val="00BD6604"/>
    <w:rsid w:val="00BE403B"/>
    <w:rsid w:val="00BF6296"/>
    <w:rsid w:val="00C157EA"/>
    <w:rsid w:val="00C8602D"/>
    <w:rsid w:val="00CA2F3E"/>
    <w:rsid w:val="00CB7B3D"/>
    <w:rsid w:val="00D03178"/>
    <w:rsid w:val="00D1452B"/>
    <w:rsid w:val="00D17448"/>
    <w:rsid w:val="00D32F26"/>
    <w:rsid w:val="00D43764"/>
    <w:rsid w:val="00D53AAB"/>
    <w:rsid w:val="00D57EB0"/>
    <w:rsid w:val="00D70D70"/>
    <w:rsid w:val="00D845BE"/>
    <w:rsid w:val="00D84CBF"/>
    <w:rsid w:val="00DA3BC4"/>
    <w:rsid w:val="00DC77E9"/>
    <w:rsid w:val="00DD6710"/>
    <w:rsid w:val="00DE34B9"/>
    <w:rsid w:val="00DE377C"/>
    <w:rsid w:val="00DF108D"/>
    <w:rsid w:val="00E00104"/>
    <w:rsid w:val="00E13BA4"/>
    <w:rsid w:val="00E16E45"/>
    <w:rsid w:val="00E25304"/>
    <w:rsid w:val="00E27C5C"/>
    <w:rsid w:val="00E408A3"/>
    <w:rsid w:val="00E8651D"/>
    <w:rsid w:val="00E9390C"/>
    <w:rsid w:val="00E977B8"/>
    <w:rsid w:val="00EA1D8B"/>
    <w:rsid w:val="00EC3289"/>
    <w:rsid w:val="00EC4C1F"/>
    <w:rsid w:val="00ED3BF0"/>
    <w:rsid w:val="00ED566A"/>
    <w:rsid w:val="00ED6BC3"/>
    <w:rsid w:val="00F118F6"/>
    <w:rsid w:val="00F23C94"/>
    <w:rsid w:val="00F873C2"/>
    <w:rsid w:val="00FB25C2"/>
    <w:rsid w:val="00FC102D"/>
    <w:rsid w:val="00FD3521"/>
    <w:rsid w:val="00FF6166"/>
    <w:rsid w:val="2CD0B4D6"/>
    <w:rsid w:val="73B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3D1741EC-3E97-42F7-983B-557E3FE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FA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0EFA"/>
    <w:pPr>
      <w:keepNext/>
      <w:keepLines/>
      <w:pBdr>
        <w:bottom w:val="single" w:sz="12" w:space="1" w:color="F16038" w:themeColor="accent2"/>
      </w:pBdr>
      <w:spacing w:before="480" w:after="240"/>
      <w:outlineLvl w:val="0"/>
    </w:pPr>
    <w:rPr>
      <w:rFonts w:asciiTheme="majorHAnsi" w:eastAsiaTheme="majorEastAsia" w:hAnsiTheme="majorHAnsi" w:cstheme="majorBidi"/>
      <w:caps/>
      <w:color w:val="015692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40E"/>
    <w:pPr>
      <w:spacing w:before="360" w:after="120"/>
      <w:outlineLvl w:val="1"/>
    </w:pPr>
    <w:rPr>
      <w:b/>
      <w:color w:val="CF380E" w:themeColor="accent2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9BE"/>
    <w:pPr>
      <w:spacing w:before="240" w:after="240"/>
      <w:outlineLvl w:val="2"/>
    </w:pPr>
    <w:rPr>
      <w:bCs/>
      <w:color w:val="015692" w:themeColor="accent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771"/>
    <w:pPr>
      <w:spacing w:before="40" w:after="0"/>
      <w:outlineLvl w:val="3"/>
    </w:pPr>
    <w:rPr>
      <w:rFonts w:asciiTheme="majorHAnsi" w:hAnsiTheme="majorHAnsi"/>
      <w:color w:val="015692" w:themeColor="accent3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771"/>
    <w:pPr>
      <w:spacing w:before="40" w:after="0"/>
      <w:outlineLvl w:val="4"/>
    </w:pPr>
    <w:rPr>
      <w:rFonts w:asciiTheme="majorHAnsi" w:hAnsiTheme="majorHAnsi"/>
      <w:color w:val="00534D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27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250A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250A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0E240E"/>
    <w:rPr>
      <w:b/>
      <w:color w:val="CF380E" w:themeColor="accent2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9BE"/>
    <w:rPr>
      <w:bCs/>
      <w:color w:val="015692" w:themeColor="accent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7771"/>
    <w:rPr>
      <w:rFonts w:asciiTheme="majorHAnsi" w:hAnsiTheme="majorHAnsi"/>
      <w:color w:val="015692" w:themeColor="accent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771"/>
    <w:rPr>
      <w:rFonts w:asciiTheme="majorHAnsi" w:hAnsiTheme="majorHAnsi"/>
      <w:color w:val="00534D" w:themeColor="accent1" w:themeShade="80"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2DE6"/>
    <w:pPr>
      <w:spacing w:before="84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DE6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EFA"/>
    <w:rPr>
      <w:rFonts w:asciiTheme="majorHAnsi" w:eastAsiaTheme="majorEastAsia" w:hAnsiTheme="majorHAnsi" w:cstheme="majorBidi"/>
      <w:caps/>
      <w:color w:val="015692" w:themeColor="accent3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27771"/>
    <w:rPr>
      <w:rFonts w:asciiTheme="majorHAnsi" w:eastAsiaTheme="majorEastAsia" w:hAnsiTheme="majorHAnsi" w:cstheme="majorBidi"/>
      <w:color w:val="8B250A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771"/>
    <w:rPr>
      <w:rFonts w:asciiTheme="majorHAnsi" w:eastAsiaTheme="majorEastAsia" w:hAnsiTheme="majorHAnsi" w:cstheme="majorBidi"/>
      <w:i/>
      <w:iCs/>
      <w:color w:val="8B250A" w:themeColor="accent2" w:themeShade="80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sid w:val="0068353F"/>
    <w:rPr>
      <w:color w:val="D0380E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8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5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353F"/>
    <w:rPr>
      <w:sz w:val="16"/>
      <w:szCs w:val="16"/>
    </w:rPr>
  </w:style>
  <w:style w:type="character" w:customStyle="1" w:styleId="normaltextrun">
    <w:name w:val="normaltextrun"/>
    <w:basedOn w:val="DefaultParagraphFont"/>
    <w:rsid w:val="0068353F"/>
  </w:style>
  <w:style w:type="character" w:customStyle="1" w:styleId="eop">
    <w:name w:val="eop"/>
    <w:basedOn w:val="DefaultParagraphFont"/>
    <w:rsid w:val="0068353F"/>
  </w:style>
  <w:style w:type="paragraph" w:customStyle="1" w:styleId="paragraph">
    <w:name w:val="paragraph"/>
    <w:basedOn w:val="Normal"/>
    <w:rsid w:val="006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D1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C3289"/>
    <w:pPr>
      <w:widowControl w:val="0"/>
      <w:autoSpaceDE w:val="0"/>
      <w:autoSpaceDN w:val="0"/>
      <w:spacing w:after="0" w:line="240" w:lineRule="auto"/>
      <w:ind w:left="214"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32"/>
    <w:rPr>
      <w:b/>
      <w:bCs/>
      <w:sz w:val="20"/>
      <w:szCs w:val="20"/>
    </w:rPr>
  </w:style>
  <w:style w:type="table" w:styleId="ListTable3-Accent1">
    <w:name w:val="List Table 3 Accent 1"/>
    <w:basedOn w:val="TableNormal"/>
    <w:uiPriority w:val="48"/>
    <w:rsid w:val="00175C41"/>
    <w:pPr>
      <w:spacing w:after="0" w:line="240" w:lineRule="auto"/>
    </w:pPr>
    <w:tblPr>
      <w:tblStyleRowBandSize w:val="1"/>
      <w:tblStyleColBandSize w:val="1"/>
      <w:tblBorders>
        <w:top w:val="single" w:sz="4" w:space="0" w:color="00A69B" w:themeColor="accent1"/>
        <w:left w:val="single" w:sz="4" w:space="0" w:color="00A69B" w:themeColor="accent1"/>
        <w:bottom w:val="single" w:sz="4" w:space="0" w:color="00A69B" w:themeColor="accent1"/>
        <w:right w:val="single" w:sz="4" w:space="0" w:color="00A6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6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9B" w:themeColor="accent1"/>
          <w:right w:val="single" w:sz="4" w:space="0" w:color="00A69B" w:themeColor="accent1"/>
        </w:tcBorders>
      </w:tcPr>
    </w:tblStylePr>
    <w:tblStylePr w:type="band1Horz">
      <w:tblPr/>
      <w:tcPr>
        <w:tcBorders>
          <w:top w:val="single" w:sz="4" w:space="0" w:color="00A69B" w:themeColor="accent1"/>
          <w:bottom w:val="single" w:sz="4" w:space="0" w:color="00A6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9B" w:themeColor="accent1"/>
          <w:left w:val="nil"/>
        </w:tcBorders>
      </w:tcPr>
    </w:tblStylePr>
    <w:tblStylePr w:type="swCell">
      <w:tblPr/>
      <w:tcPr>
        <w:tcBorders>
          <w:top w:val="double" w:sz="4" w:space="0" w:color="00A69B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tfl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fl.org/publications/all/world-readiness-standards-learning-languag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iatexa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tfl.org/publications/all/world-readiness-standards-learning-language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malone@actfl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IA@TEA.TEXAS.GOV" TargetMode="External"/><Relationship Id="rId2" Type="http://schemas.openxmlformats.org/officeDocument/2006/relationships/hyperlink" Target="mailto:TIA@TEA.TEXAS.GOV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F16038"/>
      </a:accent2>
      <a:accent3>
        <a:srgbClr val="015692"/>
      </a:accent3>
      <a:accent4>
        <a:srgbClr val="87C54A"/>
      </a:accent4>
      <a:accent5>
        <a:srgbClr val="F8CC2B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14" ma:contentTypeDescription="Create a new document." ma:contentTypeScope="" ma:versionID="502ed03c3e35da23c13c09227bf43b1c">
  <xsd:schema xmlns:xsd="http://www.w3.org/2001/XMLSchema" xmlns:xs="http://www.w3.org/2001/XMLSchema" xmlns:p="http://schemas.microsoft.com/office/2006/metadata/properties" xmlns:ns2="55ad0659-6a5d-4092-b991-df82805f26a4" xmlns:ns3="4780d0d2-c080-455e-bee8-5b3382ef325a" targetNamespace="http://schemas.microsoft.com/office/2006/metadata/properties" ma:root="true" ma:fieldsID="9421725c09d0f3edbea8f1f6c1309576" ns2:_="" ns3:_="">
    <xsd:import namespace="55ad0659-6a5d-4092-b991-df82805f26a4"/>
    <xsd:import namespace="4780d0d2-c080-455e-bee8-5b3382ef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404C1-532E-4141-993C-F9319CECFB3F}">
  <ds:schemaRefs>
    <ds:schemaRef ds:uri="http://purl.org/dc/dcmitype/"/>
    <ds:schemaRef ds:uri="http://schemas.microsoft.com/office/infopath/2007/PartnerControls"/>
    <ds:schemaRef ds:uri="http://purl.org/dc/elements/1.1/"/>
    <ds:schemaRef ds:uri="55ad0659-6a5d-4092-b991-df82805f26a4"/>
    <ds:schemaRef ds:uri="http://schemas.microsoft.com/office/2006/metadata/properties"/>
    <ds:schemaRef ds:uri="http://purl.org/dc/terms/"/>
    <ds:schemaRef ds:uri="http://schemas.microsoft.com/office/2006/documentManagement/types"/>
    <ds:schemaRef ds:uri="4780d0d2-c080-455e-bee8-5b3382ef325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1BA3DD-B366-4F50-AD00-7C4AC80F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C20DE-20D2-471F-8A28-C3A2AEC94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788</Words>
  <Characters>4498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30" baseType="variant"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mailto:mmalone@actfl.org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https://www.actfl.org/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http://www.actfl.org/publications/all/world-readiness-standards-learning-languages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http://www.actfl.org/publications/all/world-readiness-standards-learning-languages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https://tiatexas.org/local-designation-system/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90</cp:revision>
  <dcterms:created xsi:type="dcterms:W3CDTF">2022-01-24T18:08:00Z</dcterms:created>
  <dcterms:modified xsi:type="dcterms:W3CDTF">2022-06-10T21:19:00Z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</Properties>
</file>