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7D38" w14:textId="5AFA46AF" w:rsidR="00BD495D" w:rsidRPr="00517336" w:rsidRDefault="00936F9F" w:rsidP="001F03BE">
      <w:pPr>
        <w:pStyle w:val="Title"/>
        <w:spacing w:before="1080"/>
      </w:pPr>
      <w:r>
        <w:t>Circle Progress Monitoring FAQ</w:t>
      </w:r>
    </w:p>
    <w:p w14:paraId="2A7AA1BB" w14:textId="199FF249" w:rsidR="00770770" w:rsidRPr="00517336" w:rsidRDefault="00770770" w:rsidP="00770770">
      <w:pPr>
        <w:spacing w:after="0" w:line="276" w:lineRule="auto"/>
        <w:rPr>
          <w:rFonts w:eastAsiaTheme="minorEastAsia" w:cstheme="minorHAnsi"/>
          <w:b/>
          <w:bCs/>
          <w:color w:val="000000" w:themeColor="text1"/>
          <w:lang w:val="en"/>
        </w:rPr>
      </w:pPr>
      <w:r w:rsidRPr="00517336">
        <w:rPr>
          <w:rFonts w:eastAsiaTheme="minorEastAsia" w:cstheme="minorHAnsi"/>
          <w:b/>
          <w:bCs/>
          <w:color w:val="000000" w:themeColor="text1"/>
        </w:rPr>
        <w:t xml:space="preserve">Vendor Name: </w:t>
      </w:r>
      <w:r w:rsidR="00424E30">
        <w:rPr>
          <w:rFonts w:eastAsiaTheme="minorEastAsia" w:cstheme="minorHAnsi"/>
          <w:b/>
          <w:bCs/>
          <w:color w:val="000000" w:themeColor="text1"/>
        </w:rPr>
        <w:t xml:space="preserve">Children’s Learning </w:t>
      </w:r>
      <w:r w:rsidR="00F4238F">
        <w:rPr>
          <w:rFonts w:eastAsiaTheme="minorEastAsia" w:cstheme="minorHAnsi"/>
          <w:b/>
          <w:bCs/>
          <w:color w:val="000000" w:themeColor="text1"/>
        </w:rPr>
        <w:t>Institute (</w:t>
      </w:r>
      <w:r w:rsidR="003E337B">
        <w:rPr>
          <w:rFonts w:eastAsiaTheme="minorEastAsia" w:cstheme="minorHAnsi"/>
          <w:b/>
          <w:bCs/>
          <w:color w:val="000000" w:themeColor="text1"/>
        </w:rPr>
        <w:t xml:space="preserve">CLI-Engage) </w:t>
      </w:r>
    </w:p>
    <w:p w14:paraId="3D9B59DA" w14:textId="07EACE68" w:rsidR="00770770" w:rsidRPr="00517336" w:rsidRDefault="00770770" w:rsidP="003E1B04">
      <w:pPr>
        <w:spacing w:after="120" w:line="276" w:lineRule="auto"/>
        <w:rPr>
          <w:rFonts w:eastAsiaTheme="minorEastAsia" w:cstheme="minorHAnsi"/>
          <w:b/>
          <w:bCs/>
          <w:color w:val="000000" w:themeColor="text1"/>
        </w:rPr>
      </w:pPr>
      <w:r w:rsidRPr="00517336">
        <w:rPr>
          <w:rFonts w:eastAsiaTheme="minorEastAsia" w:cstheme="minorHAnsi"/>
          <w:b/>
          <w:bCs/>
          <w:color w:val="000000" w:themeColor="text1"/>
        </w:rPr>
        <w:t>Assessment(s) Name: Circle Progress Measure</w:t>
      </w:r>
    </w:p>
    <w:tbl>
      <w:tblPr>
        <w:tblStyle w:val="ListTable3-Accent1"/>
        <w:tblW w:w="11060"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3120"/>
        <w:gridCol w:w="7940"/>
      </w:tblGrid>
      <w:tr w:rsidR="00770770" w:rsidRPr="008C4A8A" w14:paraId="77BDE6F4" w14:textId="77777777" w:rsidTr="00E255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0" w:type="dxa"/>
            <w:tcBorders>
              <w:bottom w:val="none" w:sz="0" w:space="0" w:color="auto"/>
              <w:right w:val="none" w:sz="0" w:space="0" w:color="auto"/>
            </w:tcBorders>
          </w:tcPr>
          <w:p w14:paraId="314E709A" w14:textId="77777777" w:rsidR="00770770" w:rsidRPr="00B37AE9" w:rsidRDefault="00770770" w:rsidP="00FC5388">
            <w:pPr>
              <w:spacing w:after="0"/>
              <w:rPr>
                <w:rFonts w:cstheme="minorHAnsi"/>
                <w:sz w:val="28"/>
                <w:szCs w:val="28"/>
              </w:rPr>
            </w:pPr>
            <w:r w:rsidRPr="00B37AE9">
              <w:rPr>
                <w:rFonts w:eastAsia="Calibri" w:cstheme="minorHAnsi"/>
                <w:sz w:val="28"/>
                <w:szCs w:val="28"/>
                <w:lang w:val="en"/>
              </w:rPr>
              <w:t>Question</w:t>
            </w:r>
          </w:p>
        </w:tc>
        <w:tc>
          <w:tcPr>
            <w:tcW w:w="7940" w:type="dxa"/>
          </w:tcPr>
          <w:p w14:paraId="29428390" w14:textId="77777777" w:rsidR="00770770" w:rsidRPr="00B37AE9" w:rsidRDefault="00770770" w:rsidP="00FC5388">
            <w:pPr>
              <w:spacing w:after="0"/>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B37AE9">
              <w:rPr>
                <w:rFonts w:eastAsia="Calibri" w:cstheme="minorHAnsi"/>
                <w:sz w:val="28"/>
                <w:szCs w:val="28"/>
                <w:lang w:val="en"/>
              </w:rPr>
              <w:t>Answer</w:t>
            </w:r>
          </w:p>
        </w:tc>
      </w:tr>
      <w:tr w:rsidR="005A36A5" w:rsidRPr="008C4A8A" w14:paraId="460EE14C" w14:textId="77777777" w:rsidTr="002B0E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20" w:type="dxa"/>
            <w:tcBorders>
              <w:top w:val="none" w:sz="0" w:space="0" w:color="auto"/>
              <w:bottom w:val="none" w:sz="0" w:space="0" w:color="auto"/>
              <w:right w:val="none" w:sz="0" w:space="0" w:color="auto"/>
            </w:tcBorders>
          </w:tcPr>
          <w:p w14:paraId="30A37966" w14:textId="586DC57B" w:rsidR="005A36A5" w:rsidRPr="005B6CED" w:rsidRDefault="0001258C" w:rsidP="00FC5388">
            <w:pPr>
              <w:rPr>
                <w:rFonts w:eastAsia="Calibri" w:cstheme="minorHAnsi"/>
                <w:lang w:val="en"/>
              </w:rPr>
            </w:pPr>
            <w:r>
              <w:rPr>
                <w:rFonts w:eastAsia="Calibri" w:cstheme="minorHAnsi"/>
                <w:lang w:val="en"/>
              </w:rPr>
              <w:t>What grades are covered?</w:t>
            </w:r>
          </w:p>
        </w:tc>
        <w:tc>
          <w:tcPr>
            <w:tcW w:w="7940" w:type="dxa"/>
            <w:tcBorders>
              <w:top w:val="none" w:sz="0" w:space="0" w:color="auto"/>
              <w:bottom w:val="none" w:sz="0" w:space="0" w:color="auto"/>
            </w:tcBorders>
          </w:tcPr>
          <w:p w14:paraId="1483CB8B" w14:textId="36F1978C" w:rsidR="00525F5D" w:rsidRPr="00525F5D" w:rsidRDefault="00525F5D" w:rsidP="00FC5388">
            <w:pPr>
              <w:spacing w:after="0"/>
              <w:cnfStyle w:val="000000100000" w:firstRow="0" w:lastRow="0" w:firstColumn="0" w:lastColumn="0" w:oddVBand="0" w:evenVBand="0" w:oddHBand="1" w:evenHBand="0" w:firstRowFirstColumn="0" w:firstRowLastColumn="0" w:lastRowFirstColumn="0" w:lastRowLastColumn="0"/>
              <w:rPr>
                <w:rFonts w:cstheme="minorHAnsi"/>
                <w:color w:val="242424"/>
              </w:rPr>
            </w:pPr>
            <w:r w:rsidRPr="00525F5D">
              <w:rPr>
                <w:rFonts w:cstheme="minorHAnsi"/>
                <w:color w:val="242424"/>
              </w:rPr>
              <w:t>Pre</w:t>
            </w:r>
            <w:r w:rsidR="004E405C">
              <w:rPr>
                <w:rFonts w:cstheme="minorHAnsi"/>
                <w:color w:val="242424"/>
              </w:rPr>
              <w:t>-</w:t>
            </w:r>
            <w:r w:rsidRPr="00525F5D">
              <w:rPr>
                <w:rFonts w:cstheme="minorHAnsi"/>
                <w:color w:val="242424"/>
              </w:rPr>
              <w:t>K Multiple Domains (Social and Emotional Development, Language and Communication, Emergent Literacy—Reading and Writing, Mathematics)</w:t>
            </w:r>
          </w:p>
          <w:p w14:paraId="0A75035E" w14:textId="77777777" w:rsidR="005A36A5" w:rsidRPr="00517336" w:rsidRDefault="005A36A5" w:rsidP="00FC5388">
            <w:pPr>
              <w:spacing w:after="0"/>
              <w:cnfStyle w:val="000000100000" w:firstRow="0" w:lastRow="0" w:firstColumn="0" w:lastColumn="0" w:oddVBand="0" w:evenVBand="0" w:oddHBand="1" w:evenHBand="0" w:firstRowFirstColumn="0" w:firstRowLastColumn="0" w:lastRowFirstColumn="0" w:lastRowLastColumn="0"/>
              <w:rPr>
                <w:rFonts w:cstheme="minorHAnsi"/>
              </w:rPr>
            </w:pPr>
          </w:p>
        </w:tc>
      </w:tr>
      <w:tr w:rsidR="005A36A5" w:rsidRPr="008C4A8A" w14:paraId="2ACCA04E" w14:textId="77777777" w:rsidTr="002B0E46">
        <w:trPr>
          <w:cantSplit/>
        </w:trPr>
        <w:tc>
          <w:tcPr>
            <w:cnfStyle w:val="001000000000" w:firstRow="0" w:lastRow="0" w:firstColumn="1" w:lastColumn="0" w:oddVBand="0" w:evenVBand="0" w:oddHBand="0" w:evenHBand="0" w:firstRowFirstColumn="0" w:firstRowLastColumn="0" w:lastRowFirstColumn="0" w:lastRowLastColumn="0"/>
            <w:tcW w:w="3120" w:type="dxa"/>
            <w:tcBorders>
              <w:right w:val="none" w:sz="0" w:space="0" w:color="auto"/>
            </w:tcBorders>
          </w:tcPr>
          <w:p w14:paraId="11E555B5" w14:textId="45B66F61" w:rsidR="005A36A5" w:rsidRPr="005B6CED" w:rsidRDefault="0001258C" w:rsidP="00FC5388">
            <w:pPr>
              <w:rPr>
                <w:rFonts w:eastAsia="Calibri" w:cstheme="minorHAnsi"/>
                <w:lang w:val="en"/>
              </w:rPr>
            </w:pPr>
            <w:r>
              <w:rPr>
                <w:rFonts w:eastAsia="Calibri" w:cstheme="minorHAnsi"/>
                <w:lang w:val="en"/>
              </w:rPr>
              <w:t>Is there a pre/post test?</w:t>
            </w:r>
          </w:p>
        </w:tc>
        <w:tc>
          <w:tcPr>
            <w:tcW w:w="7940" w:type="dxa"/>
          </w:tcPr>
          <w:p w14:paraId="2615BBA6" w14:textId="6D4FAF52" w:rsidR="005A36A5" w:rsidRPr="00525F5D" w:rsidRDefault="00183FC4" w:rsidP="00FC5388">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525F5D">
              <w:rPr>
                <w:rFonts w:cstheme="minorHAnsi"/>
                <w:lang w:val="en"/>
              </w:rPr>
              <w:t>For the purposes of TIA, districts could use Pre/Post-test option 2</w:t>
            </w:r>
            <w:r w:rsidR="004E405C">
              <w:rPr>
                <w:rFonts w:cstheme="minorHAnsi"/>
                <w:lang w:val="en"/>
              </w:rPr>
              <w:t>.</w:t>
            </w:r>
          </w:p>
        </w:tc>
      </w:tr>
      <w:tr w:rsidR="00770770" w:rsidRPr="008C4A8A" w14:paraId="1E097B84" w14:textId="77777777" w:rsidTr="002B0E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20" w:type="dxa"/>
            <w:tcBorders>
              <w:top w:val="none" w:sz="0" w:space="0" w:color="auto"/>
              <w:bottom w:val="none" w:sz="0" w:space="0" w:color="auto"/>
              <w:right w:val="none" w:sz="0" w:space="0" w:color="auto"/>
            </w:tcBorders>
          </w:tcPr>
          <w:p w14:paraId="4B520EF5" w14:textId="77777777" w:rsidR="00770770" w:rsidRPr="0055406D" w:rsidRDefault="00770770" w:rsidP="00FC5388">
            <w:pPr>
              <w:rPr>
                <w:rFonts w:eastAsia="Calibri" w:cstheme="minorHAnsi"/>
                <w:b w:val="0"/>
                <w:bCs w:val="0"/>
              </w:rPr>
            </w:pPr>
            <w:r w:rsidRPr="0055406D">
              <w:rPr>
                <w:rFonts w:eastAsia="Calibri" w:cstheme="minorHAnsi"/>
                <w:lang w:val="en"/>
              </w:rPr>
              <w:t xml:space="preserve">What is </w:t>
            </w:r>
            <w:r w:rsidRPr="0055406D">
              <w:rPr>
                <w:rFonts w:eastAsia="Calibri" w:cstheme="minorHAnsi"/>
              </w:rPr>
              <w:t>CLI CIRCLE Progress Monitoring (C-PM) Assessment System</w:t>
            </w:r>
            <w:r w:rsidRPr="0055406D">
              <w:rPr>
                <w:rFonts w:eastAsia="Calibri" w:cstheme="minorHAnsi"/>
                <w:lang w:val="en"/>
              </w:rPr>
              <w:t>?</w:t>
            </w:r>
          </w:p>
          <w:p w14:paraId="2614B1A2" w14:textId="77777777" w:rsidR="00770770" w:rsidRPr="0055406D" w:rsidRDefault="00770770" w:rsidP="00FC5388">
            <w:pPr>
              <w:rPr>
                <w:rFonts w:eastAsiaTheme="minorEastAsia" w:cstheme="minorHAnsi"/>
                <w:b w:val="0"/>
                <w:bCs w:val="0"/>
              </w:rPr>
            </w:pPr>
            <w:r w:rsidRPr="0055406D">
              <w:rPr>
                <w:rFonts w:eastAsiaTheme="minorEastAsia" w:cstheme="minorHAnsi"/>
              </w:rPr>
              <w:t xml:space="preserve"> </w:t>
            </w:r>
          </w:p>
        </w:tc>
        <w:tc>
          <w:tcPr>
            <w:tcW w:w="7940" w:type="dxa"/>
            <w:tcBorders>
              <w:top w:val="none" w:sz="0" w:space="0" w:color="auto"/>
              <w:bottom w:val="none" w:sz="0" w:space="0" w:color="auto"/>
            </w:tcBorders>
          </w:tcPr>
          <w:p w14:paraId="21593F2F" w14:textId="1F01C74F" w:rsidR="00337BB3" w:rsidRPr="0055406D" w:rsidRDefault="00770770" w:rsidP="00FC5388">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55406D">
              <w:rPr>
                <w:rFonts w:cstheme="minorHAnsi"/>
              </w:rPr>
              <w:t>The CIRCLE Progress Monitoring (C-PM) for P</w:t>
            </w:r>
            <w:r w:rsidR="00826DE4" w:rsidRPr="0055406D">
              <w:rPr>
                <w:rFonts w:cstheme="minorHAnsi"/>
              </w:rPr>
              <w:t>re-</w:t>
            </w:r>
            <w:r w:rsidRPr="0055406D">
              <w:rPr>
                <w:rFonts w:cstheme="minorHAnsi"/>
              </w:rPr>
              <w:t>K Assessment System is hosted on the Children’s Learning Institute’s CLI Engage platform</w:t>
            </w:r>
            <w:r w:rsidRPr="0055406D">
              <w:rPr>
                <w:rFonts w:cstheme="minorHAnsi"/>
                <w:shd w:val="clear" w:color="auto" w:fill="FEFEFE"/>
              </w:rPr>
              <w:t xml:space="preserve"> and </w:t>
            </w:r>
            <w:r w:rsidRPr="0055406D">
              <w:rPr>
                <w:rFonts w:cstheme="minorHAnsi"/>
              </w:rPr>
              <w:t xml:space="preserve">is a standardized, criterion-referenced measure that relates </w:t>
            </w:r>
            <w:r w:rsidR="00D12261" w:rsidRPr="0055406D">
              <w:rPr>
                <w:rFonts w:cstheme="minorHAnsi"/>
              </w:rPr>
              <w:t>t</w:t>
            </w:r>
            <w:r w:rsidRPr="0055406D">
              <w:rPr>
                <w:rFonts w:cstheme="minorHAnsi"/>
              </w:rPr>
              <w:t xml:space="preserve">o established standardized tests and is sensitive to growth in children’s skills over time. </w:t>
            </w:r>
          </w:p>
          <w:p w14:paraId="6C499609" w14:textId="77777777" w:rsidR="004E405C" w:rsidRPr="0055406D" w:rsidRDefault="004E405C" w:rsidP="00FC5388">
            <w:pPr>
              <w:spacing w:after="0"/>
              <w:cnfStyle w:val="000000100000" w:firstRow="0" w:lastRow="0" w:firstColumn="0" w:lastColumn="0" w:oddVBand="0" w:evenVBand="0" w:oddHBand="1" w:evenHBand="0" w:firstRowFirstColumn="0" w:firstRowLastColumn="0" w:lastRowFirstColumn="0" w:lastRowLastColumn="0"/>
              <w:rPr>
                <w:rFonts w:cstheme="minorHAnsi"/>
              </w:rPr>
            </w:pPr>
          </w:p>
          <w:p w14:paraId="35E25B05" w14:textId="6CD11EA5" w:rsidR="00770770" w:rsidRPr="0055406D" w:rsidRDefault="00770770" w:rsidP="00FC5388">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55406D">
              <w:rPr>
                <w:rFonts w:cstheme="minorHAnsi"/>
              </w:rPr>
              <w:t>C-PM is designed to be inclusive linguistically and culturally. All direct measures included in the CIRCLE Progress Monitoring System are available in both English and Spanish.</w:t>
            </w:r>
          </w:p>
          <w:p w14:paraId="442CFA78" w14:textId="77777777" w:rsidR="0018101C" w:rsidRPr="0055406D" w:rsidRDefault="0018101C" w:rsidP="00FC5388">
            <w:pPr>
              <w:spacing w:after="0"/>
              <w:cnfStyle w:val="000000100000" w:firstRow="0" w:lastRow="0" w:firstColumn="0" w:lastColumn="0" w:oddVBand="0" w:evenVBand="0" w:oddHBand="1" w:evenHBand="0" w:firstRowFirstColumn="0" w:firstRowLastColumn="0" w:lastRowFirstColumn="0" w:lastRowLastColumn="0"/>
              <w:rPr>
                <w:rFonts w:cstheme="minorHAnsi"/>
              </w:rPr>
            </w:pPr>
          </w:p>
          <w:p w14:paraId="0B793C34" w14:textId="77777777" w:rsidR="00E25556" w:rsidRPr="0055406D" w:rsidRDefault="00770770" w:rsidP="00FC538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5406D">
              <w:rPr>
                <w:rFonts w:asciiTheme="minorHAnsi" w:hAnsiTheme="minorHAnsi" w:cstheme="minorHAnsi"/>
                <w:sz w:val="22"/>
                <w:szCs w:val="22"/>
              </w:rPr>
              <w:t>The CIRCLE Progress Monitoring System is aligned to the Texas Prekindergarten Guidelines.</w:t>
            </w:r>
            <w:r w:rsidR="00062DB0" w:rsidRPr="0055406D">
              <w:rPr>
                <w:rFonts w:asciiTheme="minorHAnsi" w:hAnsiTheme="minorHAnsi" w:cstheme="minorHAnsi"/>
                <w:sz w:val="22"/>
                <w:szCs w:val="22"/>
              </w:rPr>
              <w:t xml:space="preserve"> </w:t>
            </w:r>
            <w:r w:rsidRPr="0055406D">
              <w:rPr>
                <w:rFonts w:asciiTheme="minorHAnsi" w:hAnsiTheme="minorHAnsi" w:cstheme="minorHAnsi"/>
                <w:sz w:val="22"/>
                <w:szCs w:val="22"/>
              </w:rPr>
              <w:t xml:space="preserve">It provides significant flexibility in administration, including choice of measures and timing of assessments. </w:t>
            </w:r>
          </w:p>
          <w:p w14:paraId="0A73F84E" w14:textId="0A41702E" w:rsidR="006A00D9" w:rsidRPr="0055406D" w:rsidRDefault="00770770" w:rsidP="00FC538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szCs w:val="22"/>
              </w:rPr>
            </w:pPr>
            <w:r w:rsidRPr="0055406D">
              <w:rPr>
                <w:rFonts w:asciiTheme="minorHAnsi" w:hAnsiTheme="minorHAnsi" w:cstheme="minorHAnsi"/>
                <w:sz w:val="22"/>
                <w:szCs w:val="22"/>
              </w:rPr>
              <w:br/>
              <w:t xml:space="preserve">Measures were designed to be brief; no individual measure exceeds 10 minutes. Additionally, </w:t>
            </w:r>
            <w:r w:rsidR="007E5C90" w:rsidRPr="0055406D">
              <w:rPr>
                <w:rFonts w:asciiTheme="minorHAnsi" w:hAnsiTheme="minorHAnsi" w:cstheme="minorHAnsi"/>
                <w:sz w:val="22"/>
                <w:szCs w:val="22"/>
              </w:rPr>
              <w:t>districts/schools</w:t>
            </w:r>
            <w:r w:rsidRPr="0055406D">
              <w:rPr>
                <w:rFonts w:asciiTheme="minorHAnsi" w:hAnsiTheme="minorHAnsi" w:cstheme="minorHAnsi"/>
                <w:sz w:val="22"/>
                <w:szCs w:val="22"/>
              </w:rPr>
              <w:t xml:space="preserve"> can choose to group and sequence the administration of individual tasks to best align with their instructional schedules.</w:t>
            </w:r>
            <w:r w:rsidR="00DE394D" w:rsidRPr="0055406D">
              <w:rPr>
                <w:rFonts w:asciiTheme="minorHAnsi" w:hAnsiTheme="minorHAnsi" w:cstheme="minorHAnsi"/>
                <w:sz w:val="22"/>
                <w:szCs w:val="22"/>
              </w:rPr>
              <w:t xml:space="preserve"> </w:t>
            </w:r>
            <w:r w:rsidRPr="0055406D">
              <w:rPr>
                <w:rFonts w:asciiTheme="minorHAnsi" w:hAnsiTheme="minorHAnsi" w:cstheme="minorHAnsi"/>
                <w:sz w:val="22"/>
                <w:szCs w:val="22"/>
              </w:rPr>
              <w:t>The assessment also includes a wide range of reporting features that are instantly accessible.</w:t>
            </w:r>
            <w:r w:rsidRPr="0055406D">
              <w:rPr>
                <w:rFonts w:asciiTheme="minorHAnsi" w:eastAsiaTheme="minorEastAsia" w:hAnsiTheme="minorHAnsi" w:cstheme="minorHAnsi"/>
                <w:sz w:val="22"/>
                <w:szCs w:val="22"/>
              </w:rPr>
              <w:t xml:space="preserve"> </w:t>
            </w:r>
          </w:p>
        </w:tc>
      </w:tr>
      <w:tr w:rsidR="00770770" w:rsidRPr="008C4A8A" w14:paraId="504EA925" w14:textId="77777777" w:rsidTr="002B0E46">
        <w:trPr>
          <w:cantSplit/>
        </w:trPr>
        <w:tc>
          <w:tcPr>
            <w:cnfStyle w:val="001000000000" w:firstRow="0" w:lastRow="0" w:firstColumn="1" w:lastColumn="0" w:oddVBand="0" w:evenVBand="0" w:oddHBand="0" w:evenHBand="0" w:firstRowFirstColumn="0" w:firstRowLastColumn="0" w:lastRowFirstColumn="0" w:lastRowLastColumn="0"/>
            <w:tcW w:w="3120" w:type="dxa"/>
            <w:tcBorders>
              <w:right w:val="none" w:sz="0" w:space="0" w:color="auto"/>
            </w:tcBorders>
          </w:tcPr>
          <w:p w14:paraId="6CD42CC0" w14:textId="77777777" w:rsidR="00770770" w:rsidRPr="0055406D" w:rsidRDefault="00770770" w:rsidP="00FC5388">
            <w:pPr>
              <w:rPr>
                <w:rFonts w:eastAsiaTheme="minorEastAsia" w:cstheme="minorHAnsi"/>
                <w:b w:val="0"/>
                <w:bCs w:val="0"/>
                <w:lang w:val="en"/>
              </w:rPr>
            </w:pPr>
            <w:r w:rsidRPr="0055406D">
              <w:rPr>
                <w:rFonts w:eastAsia="Calibri" w:cstheme="minorHAnsi"/>
                <w:lang w:val="en"/>
              </w:rPr>
              <w:t>How can I use</w:t>
            </w:r>
            <w:r w:rsidRPr="0055406D">
              <w:rPr>
                <w:rFonts w:eastAsia="Calibri" w:cstheme="minorHAnsi"/>
              </w:rPr>
              <w:t xml:space="preserve"> CLI CIRCLE Progress Monitoring (C-PM) Assessment System</w:t>
            </w:r>
            <w:r w:rsidRPr="0055406D">
              <w:rPr>
                <w:rFonts w:eastAsia="Calibri" w:cstheme="minorHAnsi"/>
                <w:lang w:val="en"/>
              </w:rPr>
              <w:t>?</w:t>
            </w:r>
          </w:p>
        </w:tc>
        <w:tc>
          <w:tcPr>
            <w:tcW w:w="7940" w:type="dxa"/>
          </w:tcPr>
          <w:p w14:paraId="79626F24" w14:textId="04CF3FC3" w:rsidR="00770770" w:rsidRPr="0055406D" w:rsidRDefault="00CA3280" w:rsidP="00FC5388">
            <w:pPr>
              <w:shd w:val="clear" w:color="auto" w:fill="FEFEFE"/>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5406D">
              <w:rPr>
                <w:rFonts w:eastAsia="Times New Roman" w:cstheme="minorHAnsi"/>
              </w:rPr>
              <w:t xml:space="preserve">C-PM can be used </w:t>
            </w:r>
            <w:r w:rsidR="00772BC4" w:rsidRPr="0055406D">
              <w:rPr>
                <w:rFonts w:eastAsia="Times New Roman" w:cstheme="minorHAnsi"/>
              </w:rPr>
              <w:t xml:space="preserve">flexibly by providing </w:t>
            </w:r>
            <w:r w:rsidR="008E2F63" w:rsidRPr="0055406D">
              <w:rPr>
                <w:rFonts w:eastAsia="Times New Roman" w:cstheme="minorHAnsi"/>
              </w:rPr>
              <w:t xml:space="preserve">a </w:t>
            </w:r>
            <w:r w:rsidR="00382BC6" w:rsidRPr="0055406D">
              <w:rPr>
                <w:rFonts w:eastAsia="Times New Roman" w:cstheme="minorHAnsi"/>
              </w:rPr>
              <w:t xml:space="preserve">choice of measures and timing of assessments. Additionally, CP-M </w:t>
            </w:r>
            <w:r w:rsidR="0043135A" w:rsidRPr="0055406D">
              <w:rPr>
                <w:rFonts w:eastAsia="Times New Roman" w:cstheme="minorHAnsi"/>
              </w:rPr>
              <w:t>links to CIRCLE activities that target specific skills based on assessment results</w:t>
            </w:r>
            <w:r w:rsidR="00BE7E33" w:rsidRPr="0055406D">
              <w:rPr>
                <w:rFonts w:eastAsia="Times New Roman" w:cstheme="minorHAnsi"/>
              </w:rPr>
              <w:t xml:space="preserve">. </w:t>
            </w:r>
            <w:r w:rsidR="00B05329" w:rsidRPr="0055406D">
              <w:rPr>
                <w:rFonts w:eastAsia="Times New Roman" w:cstheme="minorHAnsi"/>
              </w:rPr>
              <w:t>CP-M includes a wide range of reporting features instantly accessible</w:t>
            </w:r>
            <w:r w:rsidR="00094CBD" w:rsidRPr="0055406D">
              <w:rPr>
                <w:rFonts w:eastAsia="Times New Roman" w:cstheme="minorHAnsi"/>
              </w:rPr>
              <w:t xml:space="preserve"> such as </w:t>
            </w:r>
            <w:r w:rsidR="009D33C5" w:rsidRPr="0055406D">
              <w:rPr>
                <w:rFonts w:cstheme="minorHAnsi"/>
                <w:shd w:val="clear" w:color="auto" w:fill="FEFEFE"/>
              </w:rPr>
              <w:t xml:space="preserve">providing </w:t>
            </w:r>
            <w:r w:rsidR="00092E4A" w:rsidRPr="0055406D">
              <w:rPr>
                <w:rFonts w:cstheme="minorHAnsi"/>
                <w:shd w:val="clear" w:color="auto" w:fill="FEFEFE"/>
              </w:rPr>
              <w:t>snapshots of student skill levels at the individual, group, class, school, and district levels. The reports use visual indicators to flag students below established benchmarks. Student grouping features and links to recommended activities provide the teacher with the first steps in beginning small group instruction that targets specific skill areas.</w:t>
            </w:r>
          </w:p>
        </w:tc>
      </w:tr>
      <w:tr w:rsidR="0055406D" w:rsidRPr="008C4A8A" w14:paraId="7BBD26D9" w14:textId="77777777" w:rsidTr="002B0E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20" w:type="dxa"/>
          </w:tcPr>
          <w:p w14:paraId="0B710C91" w14:textId="1625981A" w:rsidR="0055406D" w:rsidRPr="00517336" w:rsidRDefault="0055406D" w:rsidP="0055406D">
            <w:pPr>
              <w:rPr>
                <w:rFonts w:eastAsia="Calibri" w:cstheme="minorHAnsi"/>
                <w:lang w:val="en"/>
              </w:rPr>
            </w:pPr>
            <w:r w:rsidRPr="00517336">
              <w:rPr>
                <w:rFonts w:eastAsia="Calibri" w:cstheme="minorHAnsi"/>
                <w:lang w:val="en"/>
              </w:rPr>
              <w:lastRenderedPageBreak/>
              <w:t xml:space="preserve">What was the </w:t>
            </w:r>
            <w:r w:rsidRPr="00517336">
              <w:rPr>
                <w:rFonts w:eastAsia="Calibri" w:cstheme="minorHAnsi"/>
              </w:rPr>
              <w:t>CLI CIRCLE Progress Monitoring (C-PM) Assessment System</w:t>
            </w:r>
            <w:r w:rsidRPr="00517336">
              <w:rPr>
                <w:rFonts w:eastAsia="Calibri" w:cstheme="minorHAnsi"/>
                <w:lang w:val="en"/>
              </w:rPr>
              <w:t xml:space="preserve"> designed to do?</w:t>
            </w:r>
            <w:r w:rsidRPr="00517336">
              <w:rPr>
                <w:rFonts w:eastAsiaTheme="minorEastAsia" w:cstheme="minorHAnsi"/>
                <w:lang w:val="en"/>
              </w:rPr>
              <w:t xml:space="preserve"> </w:t>
            </w:r>
          </w:p>
        </w:tc>
        <w:tc>
          <w:tcPr>
            <w:tcW w:w="7940" w:type="dxa"/>
          </w:tcPr>
          <w:p w14:paraId="0AFBDF96" w14:textId="11A02A5A" w:rsidR="0055406D" w:rsidRPr="00517336" w:rsidRDefault="0055406D" w:rsidP="0055406D">
            <w:pPr>
              <w:shd w:val="clear" w:color="auto" w:fill="FEFEFE"/>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sidRPr="00517336">
              <w:rPr>
                <w:rFonts w:eastAsia="Arial" w:cstheme="minorHAnsi"/>
                <w:lang w:val="en"/>
              </w:rPr>
              <w:t xml:space="preserve">The purpose of student progress monitoring in early childhood is to measure a snapshot of children’s strengths at different time points in the year and use results to plan and set goals for instruction. CIRCLE Progress Monitoring is best used in conjunction with additional classroom data points to develop a clear understanding of each child’s literacy and math skill development. For example, </w:t>
            </w:r>
            <w:r w:rsidRPr="00517336">
              <w:rPr>
                <w:rFonts w:eastAsia="Calibri" w:cstheme="minorHAnsi"/>
              </w:rPr>
              <w:t>Circle-PM checklists and other records can be used to build portfolios documenting children’s growth and cognitive development throughout the school year.</w:t>
            </w:r>
            <w:r w:rsidR="00BF0EAB">
              <w:rPr>
                <w:rFonts w:eastAsia="Calibri" w:cstheme="minorHAnsi"/>
              </w:rPr>
              <w:t xml:space="preserve"> </w:t>
            </w:r>
          </w:p>
        </w:tc>
      </w:tr>
      <w:tr w:rsidR="0055406D" w:rsidRPr="008C4A8A" w14:paraId="6E55AE51" w14:textId="77777777" w:rsidTr="002B0E46">
        <w:trPr>
          <w:cantSplit/>
        </w:trPr>
        <w:tc>
          <w:tcPr>
            <w:cnfStyle w:val="001000000000" w:firstRow="0" w:lastRow="0" w:firstColumn="1" w:lastColumn="0" w:oddVBand="0" w:evenVBand="0" w:oddHBand="0" w:evenHBand="0" w:firstRowFirstColumn="0" w:firstRowLastColumn="0" w:lastRowFirstColumn="0" w:lastRowLastColumn="0"/>
            <w:tcW w:w="3120" w:type="dxa"/>
          </w:tcPr>
          <w:p w14:paraId="7FF2C08C" w14:textId="0BCB7317" w:rsidR="0055406D" w:rsidRPr="00517336" w:rsidRDefault="0055406D" w:rsidP="0055406D">
            <w:pPr>
              <w:rPr>
                <w:rFonts w:eastAsia="Calibri" w:cstheme="minorHAnsi"/>
                <w:lang w:val="en"/>
              </w:rPr>
            </w:pPr>
            <w:r w:rsidRPr="00517336">
              <w:rPr>
                <w:rFonts w:cstheme="minorHAnsi"/>
              </w:rPr>
              <w:t>Does CLI CIRCLE provide expected growth targets for students?</w:t>
            </w:r>
            <w:r w:rsidRPr="00517336">
              <w:rPr>
                <w:rFonts w:eastAsiaTheme="minorEastAsia" w:cstheme="minorHAnsi"/>
              </w:rPr>
              <w:t xml:space="preserve"> </w:t>
            </w:r>
          </w:p>
        </w:tc>
        <w:tc>
          <w:tcPr>
            <w:tcW w:w="7940" w:type="dxa"/>
          </w:tcPr>
          <w:p w14:paraId="1ED1B691" w14:textId="44C43946" w:rsidR="0055406D" w:rsidRPr="00517336" w:rsidRDefault="0055406D" w:rsidP="0055406D">
            <w:pPr>
              <w:shd w:val="clear" w:color="auto" w:fill="FEFEFE"/>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rPr>
            </w:pPr>
            <w:r w:rsidRPr="00517336">
              <w:rPr>
                <w:rFonts w:eastAsia="Calibri" w:cstheme="minorHAnsi"/>
                <w:lang w:val="en"/>
              </w:rPr>
              <w:t>No.</w:t>
            </w:r>
            <w:r w:rsidR="00BF0EAB">
              <w:rPr>
                <w:rFonts w:eastAsia="Calibri" w:cstheme="minorHAnsi"/>
                <w:lang w:val="en"/>
              </w:rPr>
              <w:t xml:space="preserve"> </w:t>
            </w:r>
            <w:r w:rsidRPr="00517336">
              <w:rPr>
                <w:rFonts w:eastAsia="Calibri" w:cstheme="minorHAnsi"/>
                <w:lang w:val="en"/>
              </w:rPr>
              <w:t>But growth targets can be set locally.</w:t>
            </w:r>
            <w:r w:rsidRPr="00517336">
              <w:rPr>
                <w:rFonts w:eastAsiaTheme="minorEastAsia" w:cstheme="minorHAnsi"/>
              </w:rPr>
              <w:t xml:space="preserve"> </w:t>
            </w:r>
          </w:p>
        </w:tc>
      </w:tr>
      <w:tr w:rsidR="0055406D" w:rsidRPr="008C4A8A" w14:paraId="39B8F3CA" w14:textId="77777777" w:rsidTr="002B0E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20" w:type="dxa"/>
          </w:tcPr>
          <w:p w14:paraId="2BFE30F4" w14:textId="77777777" w:rsidR="0055406D" w:rsidRPr="00517336" w:rsidRDefault="0055406D" w:rsidP="0055406D">
            <w:pPr>
              <w:spacing w:line="276" w:lineRule="auto"/>
              <w:rPr>
                <w:rFonts w:eastAsia="Calibri" w:cstheme="minorHAnsi"/>
                <w:b w:val="0"/>
                <w:bCs w:val="0"/>
              </w:rPr>
            </w:pPr>
            <w:r w:rsidRPr="00517336">
              <w:rPr>
                <w:rFonts w:eastAsia="Calibri" w:cstheme="minorHAnsi"/>
                <w:lang w:val="en"/>
              </w:rPr>
              <w:t xml:space="preserve">How can districts use </w:t>
            </w:r>
            <w:r w:rsidRPr="00517336">
              <w:rPr>
                <w:rFonts w:eastAsia="Calibri" w:cstheme="minorHAnsi"/>
              </w:rPr>
              <w:t>CLI CIRCLE Progress Monitoring (C-PM) Assessment System</w:t>
            </w:r>
            <w:r w:rsidRPr="00517336">
              <w:rPr>
                <w:rFonts w:eastAsia="Calibri" w:cstheme="minorHAnsi"/>
                <w:lang w:val="en"/>
              </w:rPr>
              <w:t xml:space="preserve"> to determine end-of-year student growth for purposes of TIA? </w:t>
            </w:r>
          </w:p>
          <w:p w14:paraId="334282F7" w14:textId="77777777" w:rsidR="0055406D" w:rsidRPr="00517336" w:rsidRDefault="0055406D" w:rsidP="0055406D">
            <w:pPr>
              <w:rPr>
                <w:rFonts w:eastAsia="Calibri" w:cstheme="minorHAnsi"/>
                <w:lang w:val="en"/>
              </w:rPr>
            </w:pPr>
          </w:p>
        </w:tc>
        <w:tc>
          <w:tcPr>
            <w:tcW w:w="7940" w:type="dxa"/>
          </w:tcPr>
          <w:p w14:paraId="51A8D2FC" w14:textId="7DA19039" w:rsidR="0055406D" w:rsidRPr="00517336" w:rsidRDefault="0055406D" w:rsidP="0055406D">
            <w:pPr>
              <w:numPr>
                <w:ilvl w:val="0"/>
                <w:numId w:val="9"/>
              </w:numPr>
              <w:spacing w:after="0"/>
              <w:ind w:left="720" w:hanging="720"/>
              <w:cnfStyle w:val="000000100000" w:firstRow="0" w:lastRow="0" w:firstColumn="0" w:lastColumn="0" w:oddVBand="0" w:evenVBand="0" w:oddHBand="1" w:evenHBand="0" w:firstRowFirstColumn="0" w:firstRowLastColumn="0" w:lastRowFirstColumn="0" w:lastRowLastColumn="0"/>
              <w:rPr>
                <w:rFonts w:eastAsia="Calibri" w:cstheme="minorHAnsi"/>
              </w:rPr>
            </w:pPr>
            <w:r w:rsidRPr="00517336">
              <w:rPr>
                <w:rFonts w:eastAsia="Calibri" w:cstheme="minorHAnsi"/>
              </w:rPr>
              <w:t>Using the Circle Benchmark cut points to determine overall point gain (by test) from Wave 1 to Wave 3</w:t>
            </w:r>
          </w:p>
          <w:p w14:paraId="54B2FF49" w14:textId="77777777" w:rsidR="0055406D" w:rsidRPr="00517336" w:rsidRDefault="0055406D" w:rsidP="0055406D">
            <w:pPr>
              <w:numPr>
                <w:ilvl w:val="0"/>
                <w:numId w:val="9"/>
              </w:numPr>
              <w:spacing w:after="0"/>
              <w:ind w:left="720" w:hanging="720"/>
              <w:cnfStyle w:val="000000100000" w:firstRow="0" w:lastRow="0" w:firstColumn="0" w:lastColumn="0" w:oddVBand="0" w:evenVBand="0" w:oddHBand="1" w:evenHBand="0" w:firstRowFirstColumn="0" w:firstRowLastColumn="0" w:lastRowFirstColumn="0" w:lastRowLastColumn="0"/>
              <w:rPr>
                <w:rFonts w:eastAsia="Calibri" w:cstheme="minorHAnsi"/>
              </w:rPr>
            </w:pPr>
            <w:r w:rsidRPr="00517336">
              <w:rPr>
                <w:rFonts w:eastAsia="Calibri" w:cstheme="minorHAnsi"/>
              </w:rPr>
              <w:t>Moving up a band or remaining On Track</w:t>
            </w:r>
          </w:p>
          <w:p w14:paraId="71F88961" w14:textId="77777777" w:rsidR="0055406D" w:rsidRDefault="0055406D" w:rsidP="0055406D">
            <w:pPr>
              <w:numPr>
                <w:ilvl w:val="0"/>
                <w:numId w:val="9"/>
              </w:numPr>
              <w:spacing w:after="0"/>
              <w:ind w:left="720" w:hanging="720"/>
              <w:cnfStyle w:val="000000100000" w:firstRow="0" w:lastRow="0" w:firstColumn="0" w:lastColumn="0" w:oddVBand="0" w:evenVBand="0" w:oddHBand="1" w:evenHBand="0" w:firstRowFirstColumn="0" w:firstRowLastColumn="0" w:lastRowFirstColumn="0" w:lastRowLastColumn="0"/>
              <w:rPr>
                <w:rFonts w:eastAsia="Calibri" w:cstheme="minorHAnsi"/>
              </w:rPr>
            </w:pPr>
            <w:r w:rsidRPr="00517336">
              <w:rPr>
                <w:rFonts w:eastAsia="Calibri" w:cstheme="minorHAnsi"/>
              </w:rPr>
              <w:t>Determining average growth based on actual district data and using that as the expected growth target</w:t>
            </w:r>
          </w:p>
          <w:p w14:paraId="66BB43B9" w14:textId="77777777" w:rsidR="0055406D" w:rsidRPr="00113406" w:rsidRDefault="0055406D" w:rsidP="0055406D">
            <w:pPr>
              <w:spacing w:after="0"/>
              <w:ind w:left="720"/>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39220938" w14:textId="77777777" w:rsidR="0055406D" w:rsidRDefault="00655F3B" w:rsidP="0055406D">
            <w:pPr>
              <w:spacing w:after="0"/>
              <w:cnfStyle w:val="000000100000" w:firstRow="0" w:lastRow="0" w:firstColumn="0" w:lastColumn="0" w:oddVBand="0" w:evenVBand="0" w:oddHBand="1" w:evenHBand="0" w:firstRowFirstColumn="0" w:firstRowLastColumn="0" w:lastRowFirstColumn="0" w:lastRowLastColumn="0"/>
              <w:rPr>
                <w:rStyle w:val="Hyperlink"/>
                <w:rFonts w:eastAsia="Calibri" w:cstheme="minorHAnsi"/>
              </w:rPr>
            </w:pPr>
            <w:hyperlink r:id="rId10">
              <w:r w:rsidR="0055406D" w:rsidRPr="00517336">
                <w:rPr>
                  <w:rStyle w:val="Hyperlink"/>
                  <w:rFonts w:eastAsia="Calibri" w:cstheme="minorHAnsi"/>
                </w:rPr>
                <w:t>Link to TIA’s guidance on setting growth targets using the Circle (C-PM)</w:t>
              </w:r>
            </w:hyperlink>
          </w:p>
          <w:p w14:paraId="69C86A3B" w14:textId="77777777" w:rsidR="0055406D" w:rsidRPr="00517336" w:rsidRDefault="0055406D" w:rsidP="0055406D">
            <w:pPr>
              <w:spacing w:after="0"/>
              <w:cnfStyle w:val="000000100000" w:firstRow="0" w:lastRow="0" w:firstColumn="0" w:lastColumn="0" w:oddVBand="0" w:evenVBand="0" w:oddHBand="1" w:evenHBand="0" w:firstRowFirstColumn="0" w:firstRowLastColumn="0" w:lastRowFirstColumn="0" w:lastRowLastColumn="0"/>
              <w:rPr>
                <w:rFonts w:eastAsia="Calibri" w:cstheme="minorHAnsi"/>
              </w:rPr>
            </w:pPr>
            <w:r w:rsidRPr="00517336">
              <w:rPr>
                <w:rFonts w:eastAsia="Calibri" w:cstheme="minorHAnsi"/>
              </w:rPr>
              <w:t xml:space="preserve"> </w:t>
            </w:r>
          </w:p>
          <w:p w14:paraId="19A7140D" w14:textId="48A03ED0" w:rsidR="0055406D" w:rsidRPr="00517336" w:rsidRDefault="0055406D" w:rsidP="0055406D">
            <w:pPr>
              <w:shd w:val="clear" w:color="auto" w:fill="FEFEFE"/>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rPr>
            </w:pPr>
            <w:r w:rsidRPr="00517336">
              <w:rPr>
                <w:rFonts w:cstheme="minorHAnsi"/>
                <w:highlight w:val="yellow"/>
                <w:lang w:val="en"/>
              </w:rPr>
              <w:t>For the purposes of TIA, districts could use option 2 with 3</w:t>
            </w:r>
            <w:r w:rsidRPr="00517336">
              <w:rPr>
                <w:rFonts w:cstheme="minorHAnsi"/>
                <w:highlight w:val="yellow"/>
                <w:vertAlign w:val="superscript"/>
                <w:lang w:val="en"/>
              </w:rPr>
              <w:t>rd</w:t>
            </w:r>
            <w:r w:rsidRPr="00517336">
              <w:rPr>
                <w:rFonts w:cstheme="minorHAnsi"/>
                <w:highlight w:val="yellow"/>
                <w:lang w:val="en"/>
              </w:rPr>
              <w:t xml:space="preserve"> party pre-test, district set growth targets and a 3</w:t>
            </w:r>
            <w:r w:rsidRPr="00517336">
              <w:rPr>
                <w:rFonts w:cstheme="minorHAnsi"/>
                <w:highlight w:val="yellow"/>
                <w:vertAlign w:val="superscript"/>
                <w:lang w:val="en"/>
              </w:rPr>
              <w:t>rd</w:t>
            </w:r>
            <w:r w:rsidRPr="00517336">
              <w:rPr>
                <w:rFonts w:cstheme="minorHAnsi"/>
                <w:highlight w:val="yellow"/>
                <w:lang w:val="en"/>
              </w:rPr>
              <w:t xml:space="preserve"> party post-test.</w:t>
            </w:r>
          </w:p>
        </w:tc>
      </w:tr>
      <w:tr w:rsidR="0055406D" w:rsidRPr="008C4A8A" w14:paraId="3B72762B" w14:textId="77777777" w:rsidTr="002B0E46">
        <w:trPr>
          <w:cantSplit/>
        </w:trPr>
        <w:tc>
          <w:tcPr>
            <w:cnfStyle w:val="001000000000" w:firstRow="0" w:lastRow="0" w:firstColumn="1" w:lastColumn="0" w:oddVBand="0" w:evenVBand="0" w:oddHBand="0" w:evenHBand="0" w:firstRowFirstColumn="0" w:firstRowLastColumn="0" w:lastRowFirstColumn="0" w:lastRowLastColumn="0"/>
            <w:tcW w:w="3120" w:type="dxa"/>
          </w:tcPr>
          <w:p w14:paraId="2DD1944F" w14:textId="79D258AC" w:rsidR="0055406D" w:rsidRPr="00517336" w:rsidRDefault="0055406D" w:rsidP="0055406D">
            <w:pPr>
              <w:rPr>
                <w:rFonts w:eastAsia="Calibri" w:cstheme="minorHAnsi"/>
                <w:lang w:val="en"/>
              </w:rPr>
            </w:pPr>
            <w:r w:rsidRPr="00517336">
              <w:rPr>
                <w:rFonts w:eastAsia="Calibri" w:cstheme="minorHAnsi"/>
                <w:lang w:val="en"/>
              </w:rPr>
              <w:t xml:space="preserve">What types of data reporting capabilities are included with </w:t>
            </w:r>
            <w:r w:rsidRPr="00517336">
              <w:rPr>
                <w:rFonts w:eastAsia="Calibri" w:cstheme="minorHAnsi"/>
              </w:rPr>
              <w:t>CLI CIRCLE Progress Monitoring (C-PM) Assessment System</w:t>
            </w:r>
            <w:r w:rsidRPr="00517336">
              <w:rPr>
                <w:rFonts w:eastAsia="Calibri" w:cstheme="minorHAnsi"/>
                <w:lang w:val="en"/>
              </w:rPr>
              <w:t>?</w:t>
            </w:r>
          </w:p>
        </w:tc>
        <w:tc>
          <w:tcPr>
            <w:tcW w:w="7940" w:type="dxa"/>
          </w:tcPr>
          <w:p w14:paraId="15A0AD3B" w14:textId="77777777" w:rsidR="0055406D" w:rsidRPr="00517336" w:rsidRDefault="0055406D" w:rsidP="0055406D">
            <w:pPr>
              <w:spacing w:after="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R</w:t>
            </w:r>
            <w:r w:rsidRPr="00517336">
              <w:rPr>
                <w:rFonts w:eastAsia="Calibri" w:cstheme="minorHAnsi"/>
              </w:rPr>
              <w:t>eports provide evidence of students’ learning for teachers to adjust ongoing instruction. CLI Engage data reporting features provide snapshots of student skill levels at the individual, group, class, school, and district levels. </w:t>
            </w:r>
          </w:p>
          <w:p w14:paraId="502275E4" w14:textId="77777777" w:rsidR="0055406D" w:rsidRPr="00517336" w:rsidRDefault="0055406D" w:rsidP="0055406D">
            <w:pPr>
              <w:spacing w:after="0"/>
              <w:cnfStyle w:val="000000000000" w:firstRow="0" w:lastRow="0" w:firstColumn="0" w:lastColumn="0" w:oddVBand="0" w:evenVBand="0" w:oddHBand="0" w:evenHBand="0" w:firstRowFirstColumn="0" w:firstRowLastColumn="0" w:lastRowFirstColumn="0" w:lastRowLastColumn="0"/>
              <w:rPr>
                <w:rFonts w:eastAsia="Calibri" w:cstheme="minorHAnsi"/>
              </w:rPr>
            </w:pPr>
            <w:r w:rsidRPr="00517336">
              <w:rPr>
                <w:rFonts w:eastAsia="Calibri" w:cstheme="minorHAnsi"/>
              </w:rPr>
              <w:t>The reports use clear visual indicators to flag students who fall below established benchmarks.</w:t>
            </w:r>
          </w:p>
          <w:p w14:paraId="55119447" w14:textId="77777777" w:rsidR="0055406D" w:rsidRPr="00517336" w:rsidRDefault="0055406D" w:rsidP="0055406D">
            <w:pPr>
              <w:pStyle w:val="ListParagraph"/>
              <w:numPr>
                <w:ilvl w:val="0"/>
                <w:numId w:val="7"/>
              </w:numPr>
              <w:spacing w:after="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517336">
              <w:rPr>
                <w:rFonts w:eastAsia="Calibri" w:cstheme="minorHAnsi"/>
              </w:rPr>
              <w:t xml:space="preserve">The </w:t>
            </w:r>
            <w:r w:rsidRPr="00517336">
              <w:rPr>
                <w:rFonts w:eastAsia="Calibri" w:cstheme="minorHAnsi"/>
                <w:b/>
                <w:bCs/>
                <w:i/>
                <w:iCs/>
              </w:rPr>
              <w:t xml:space="preserve">Completion Report </w:t>
            </w:r>
            <w:r w:rsidRPr="00517336">
              <w:rPr>
                <w:rFonts w:eastAsia="Calibri" w:cstheme="minorHAnsi"/>
              </w:rPr>
              <w:t xml:space="preserve">tracks </w:t>
            </w:r>
            <w:r>
              <w:rPr>
                <w:rFonts w:eastAsia="Calibri" w:cstheme="minorHAnsi"/>
              </w:rPr>
              <w:t xml:space="preserve">the </w:t>
            </w:r>
            <w:r w:rsidRPr="00517336">
              <w:rPr>
                <w:rFonts w:eastAsia="Calibri" w:cstheme="minorHAnsi"/>
              </w:rPr>
              <w:t>completion of selected assessments. </w:t>
            </w:r>
          </w:p>
          <w:p w14:paraId="1E724994" w14:textId="77777777" w:rsidR="0055406D" w:rsidRPr="00517336" w:rsidRDefault="0055406D" w:rsidP="0055406D">
            <w:pPr>
              <w:pStyle w:val="ListParagraph"/>
              <w:numPr>
                <w:ilvl w:val="0"/>
                <w:numId w:val="7"/>
              </w:numPr>
              <w:spacing w:after="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517336">
              <w:rPr>
                <w:rFonts w:eastAsia="Calibri" w:cstheme="minorHAnsi"/>
              </w:rPr>
              <w:t>The</w:t>
            </w:r>
            <w:r w:rsidRPr="00517336">
              <w:rPr>
                <w:rFonts w:eastAsia="Calibri" w:cstheme="minorHAnsi"/>
                <w:b/>
                <w:bCs/>
                <w:i/>
                <w:iCs/>
              </w:rPr>
              <w:t xml:space="preserve"> Growth Report</w:t>
            </w:r>
            <w:r w:rsidRPr="00517336">
              <w:rPr>
                <w:rFonts w:eastAsia="Calibri" w:cstheme="minorHAnsi"/>
              </w:rPr>
              <w:t xml:space="preserve"> allows users to view their student’s growth over time. </w:t>
            </w:r>
          </w:p>
          <w:p w14:paraId="217D67D1" w14:textId="77777777" w:rsidR="0055406D" w:rsidRPr="00517336" w:rsidRDefault="0055406D" w:rsidP="0055406D">
            <w:pPr>
              <w:pStyle w:val="ListParagraph"/>
              <w:numPr>
                <w:ilvl w:val="0"/>
                <w:numId w:val="7"/>
              </w:numPr>
              <w:spacing w:after="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517336">
              <w:rPr>
                <w:rFonts w:eastAsia="Calibri" w:cstheme="minorHAnsi"/>
              </w:rPr>
              <w:t xml:space="preserve">The </w:t>
            </w:r>
            <w:r w:rsidRPr="00517336">
              <w:rPr>
                <w:rFonts w:eastAsia="Calibri" w:cstheme="minorHAnsi"/>
                <w:b/>
                <w:bCs/>
                <w:i/>
                <w:iCs/>
              </w:rPr>
              <w:t>Summary Report</w:t>
            </w:r>
            <w:r w:rsidRPr="00517336">
              <w:rPr>
                <w:rFonts w:eastAsia="Calibri" w:cstheme="minorHAnsi"/>
              </w:rPr>
              <w:t xml:space="preserve"> allows users to view student performance across all domains.</w:t>
            </w:r>
          </w:p>
          <w:p w14:paraId="6304877A" w14:textId="77777777" w:rsidR="0055406D" w:rsidRPr="00517336" w:rsidRDefault="0055406D" w:rsidP="0055406D">
            <w:pPr>
              <w:pStyle w:val="ListParagraph"/>
              <w:numPr>
                <w:ilvl w:val="0"/>
                <w:numId w:val="7"/>
              </w:numPr>
              <w:spacing w:after="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517336">
              <w:rPr>
                <w:rFonts w:eastAsia="Calibri" w:cstheme="minorHAnsi"/>
              </w:rPr>
              <w:t>The</w:t>
            </w:r>
            <w:r w:rsidRPr="00517336">
              <w:rPr>
                <w:rFonts w:eastAsia="Calibri" w:cstheme="minorHAnsi"/>
                <w:b/>
                <w:bCs/>
                <w:i/>
                <w:iCs/>
              </w:rPr>
              <w:t xml:space="preserve"> Parent Report </w:t>
            </w:r>
            <w:r w:rsidRPr="00517336">
              <w:rPr>
                <w:rFonts w:eastAsia="Calibri" w:cstheme="minorHAnsi"/>
              </w:rPr>
              <w:t>informs families of assessment results and connects them to activities that enable them to support their children at home.</w:t>
            </w:r>
          </w:p>
          <w:p w14:paraId="3FCE4942" w14:textId="77777777" w:rsidR="0055406D" w:rsidRDefault="0055406D" w:rsidP="0055406D">
            <w:pPr>
              <w:pStyle w:val="ListParagraph"/>
              <w:numPr>
                <w:ilvl w:val="0"/>
                <w:numId w:val="7"/>
              </w:numPr>
              <w:spacing w:after="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517336">
              <w:rPr>
                <w:rFonts w:eastAsia="Calibri" w:cstheme="minorHAnsi"/>
              </w:rPr>
              <w:t>The</w:t>
            </w:r>
            <w:r w:rsidRPr="00517336">
              <w:rPr>
                <w:rFonts w:eastAsia="Calibri" w:cstheme="minorHAnsi"/>
                <w:b/>
                <w:bCs/>
              </w:rPr>
              <w:t xml:space="preserve"> </w:t>
            </w:r>
            <w:r w:rsidRPr="00517336">
              <w:rPr>
                <w:rFonts w:eastAsia="Calibri" w:cstheme="minorHAnsi"/>
                <w:b/>
                <w:bCs/>
                <w:i/>
                <w:iCs/>
              </w:rPr>
              <w:t xml:space="preserve">Group Report </w:t>
            </w:r>
            <w:r w:rsidRPr="00517336">
              <w:rPr>
                <w:rFonts w:eastAsia="Calibri" w:cstheme="minorHAnsi"/>
              </w:rPr>
              <w:t>groups students with scores below age-related benchmarks and recommends interventions and provides lesson plans for further skill development. </w:t>
            </w:r>
          </w:p>
          <w:p w14:paraId="67DD3F11" w14:textId="77777777" w:rsidR="0055406D" w:rsidRPr="00517336" w:rsidRDefault="0055406D" w:rsidP="0055406D">
            <w:pPr>
              <w:pStyle w:val="ListParagraph"/>
              <w:spacing w:after="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p w14:paraId="2DC96411" w14:textId="77777777" w:rsidR="0055406D" w:rsidRPr="00517336" w:rsidRDefault="0055406D" w:rsidP="0055406D">
            <w:pPr>
              <w:spacing w:after="0"/>
              <w:cnfStyle w:val="000000000000" w:firstRow="0" w:lastRow="0" w:firstColumn="0" w:lastColumn="0" w:oddVBand="0" w:evenVBand="0" w:oddHBand="0" w:evenHBand="0" w:firstRowFirstColumn="0" w:firstRowLastColumn="0" w:lastRowFirstColumn="0" w:lastRowLastColumn="0"/>
              <w:rPr>
                <w:rFonts w:eastAsia="Calibri" w:cstheme="minorHAnsi"/>
                <w:lang w:val="en"/>
              </w:rPr>
            </w:pPr>
            <w:r w:rsidRPr="00517336">
              <w:rPr>
                <w:rFonts w:eastAsia="Calibri" w:cstheme="minorHAnsi"/>
                <w:lang w:val="en"/>
              </w:rPr>
              <w:t>Accessing Reports</w:t>
            </w:r>
          </w:p>
          <w:p w14:paraId="5C3369E6" w14:textId="2210A171" w:rsidR="0055406D" w:rsidRPr="00517336" w:rsidRDefault="00655F3B" w:rsidP="0055406D">
            <w:pPr>
              <w:shd w:val="clear" w:color="auto" w:fill="FEFEFE"/>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rPr>
            </w:pPr>
            <w:hyperlink r:id="rId11" w:history="1">
              <w:r w:rsidR="0055406D" w:rsidRPr="00517336">
                <w:rPr>
                  <w:rStyle w:val="Hyperlink"/>
                  <w:rFonts w:eastAsia="Calibri" w:cstheme="minorHAnsi"/>
                </w:rPr>
                <w:t>https://public.cliengage.org/training/diving-deeper/accessing-reports/</w:t>
              </w:r>
            </w:hyperlink>
          </w:p>
        </w:tc>
      </w:tr>
      <w:tr w:rsidR="0055406D" w:rsidRPr="008C4A8A" w14:paraId="375664BD" w14:textId="77777777" w:rsidTr="002B0E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20" w:type="dxa"/>
          </w:tcPr>
          <w:p w14:paraId="3E3427DC" w14:textId="74E81793" w:rsidR="0055406D" w:rsidRPr="00517336" w:rsidRDefault="0055406D" w:rsidP="0055406D">
            <w:pPr>
              <w:rPr>
                <w:rFonts w:eastAsia="Calibri" w:cstheme="minorHAnsi"/>
                <w:lang w:val="en"/>
              </w:rPr>
            </w:pPr>
            <w:r w:rsidRPr="00517336">
              <w:rPr>
                <w:rFonts w:eastAsia="Times New Roman" w:cstheme="minorHAnsi"/>
                <w:lang w:val="en"/>
              </w:rPr>
              <w:lastRenderedPageBreak/>
              <w:t xml:space="preserve">What are </w:t>
            </w:r>
            <w:r>
              <w:rPr>
                <w:rFonts w:eastAsia="Times New Roman" w:cstheme="minorHAnsi"/>
                <w:lang w:val="en"/>
              </w:rPr>
              <w:t xml:space="preserve">the </w:t>
            </w:r>
            <w:r w:rsidRPr="00517336">
              <w:rPr>
                <w:rFonts w:eastAsia="Times New Roman" w:cstheme="minorHAnsi"/>
                <w:lang w:val="en"/>
              </w:rPr>
              <w:t xml:space="preserve">best practices for using </w:t>
            </w:r>
            <w:r w:rsidRPr="00517336">
              <w:rPr>
                <w:rFonts w:eastAsia="Calibri" w:cstheme="minorHAnsi"/>
              </w:rPr>
              <w:t>CLI CIRCLE Progress Monitoring (C-PM) Assessment System</w:t>
            </w:r>
            <w:r w:rsidRPr="00517336">
              <w:rPr>
                <w:rFonts w:eastAsia="Times New Roman" w:cstheme="minorHAnsi"/>
                <w:lang w:val="en"/>
              </w:rPr>
              <w:t xml:space="preserve"> in early childhood?</w:t>
            </w:r>
            <w:r w:rsidRPr="00517336">
              <w:rPr>
                <w:rFonts w:eastAsia="Times New Roman" w:cstheme="minorHAnsi"/>
              </w:rPr>
              <w:t> </w:t>
            </w:r>
          </w:p>
        </w:tc>
        <w:tc>
          <w:tcPr>
            <w:tcW w:w="7940" w:type="dxa"/>
          </w:tcPr>
          <w:p w14:paraId="06DD52F3" w14:textId="77777777" w:rsidR="0055406D" w:rsidRPr="00517336" w:rsidRDefault="0055406D" w:rsidP="0055406D">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24"/>
                <w:sz w:val="22"/>
                <w:szCs w:val="22"/>
              </w:rPr>
            </w:pPr>
            <w:r w:rsidRPr="00517336">
              <w:rPr>
                <w:rFonts w:asciiTheme="minorHAnsi" w:eastAsia="Times New Roman" w:hAnsiTheme="minorHAnsi" w:cstheme="minorHAnsi"/>
                <w:color w:val="000000"/>
                <w:kern w:val="24"/>
                <w:sz w:val="22"/>
                <w:szCs w:val="22"/>
              </w:rPr>
              <w:t>There are three main purposes for early childhood assessment, each impacting goals for improving educational quality and supporting long-term student achievement.</w:t>
            </w:r>
          </w:p>
          <w:p w14:paraId="73C3E128" w14:textId="77777777" w:rsidR="0055406D" w:rsidRPr="00517336" w:rsidRDefault="0055406D" w:rsidP="0055406D">
            <w:pPr>
              <w:pStyle w:val="NormalWeb"/>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Assessment Guides Instructional Planning</w:t>
            </w:r>
          </w:p>
          <w:p w14:paraId="3CA1B42B" w14:textId="77777777" w:rsidR="0055406D" w:rsidRPr="00517336" w:rsidRDefault="0055406D" w:rsidP="0055406D">
            <w:pPr>
              <w:pStyle w:val="NormalWeb"/>
              <w:numPr>
                <w:ilvl w:val="1"/>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Determine a child’s strengths</w:t>
            </w:r>
          </w:p>
          <w:p w14:paraId="22899A2F" w14:textId="77777777" w:rsidR="0055406D" w:rsidRPr="00517336" w:rsidRDefault="0055406D" w:rsidP="0055406D">
            <w:pPr>
              <w:pStyle w:val="NormalWeb"/>
              <w:numPr>
                <w:ilvl w:val="1"/>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Set goals</w:t>
            </w:r>
          </w:p>
          <w:p w14:paraId="13ECB845" w14:textId="77777777" w:rsidR="0055406D" w:rsidRPr="00517336" w:rsidRDefault="0055406D" w:rsidP="0055406D">
            <w:pPr>
              <w:pStyle w:val="NormalWeb"/>
              <w:numPr>
                <w:ilvl w:val="1"/>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Determine individualized activities</w:t>
            </w:r>
          </w:p>
          <w:p w14:paraId="7B65F592" w14:textId="77777777" w:rsidR="0055406D" w:rsidRPr="00517336" w:rsidRDefault="0055406D" w:rsidP="0055406D">
            <w:pPr>
              <w:pStyle w:val="NormalWeb"/>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Assessment helps the teacher communicate important milestones in a child’s development</w:t>
            </w:r>
          </w:p>
          <w:p w14:paraId="118ADF53" w14:textId="77777777" w:rsidR="0055406D" w:rsidRPr="00517336" w:rsidRDefault="0055406D" w:rsidP="0055406D">
            <w:pPr>
              <w:pStyle w:val="NormalWeb"/>
              <w:numPr>
                <w:ilvl w:val="1"/>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Support family partnerships</w:t>
            </w:r>
          </w:p>
          <w:p w14:paraId="17A61B3E" w14:textId="77777777" w:rsidR="0055406D" w:rsidRPr="00517336" w:rsidRDefault="0055406D" w:rsidP="0055406D">
            <w:pPr>
              <w:pStyle w:val="NormalWeb"/>
              <w:numPr>
                <w:ilvl w:val="1"/>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Provides opportunities for teachers and parents to work together</w:t>
            </w:r>
          </w:p>
          <w:p w14:paraId="5A6FD3D1" w14:textId="77777777" w:rsidR="0055406D" w:rsidRPr="00517336" w:rsidRDefault="0055406D" w:rsidP="0055406D">
            <w:pPr>
              <w:pStyle w:val="NormalWeb"/>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Assessments provide information for evaluating program quality</w:t>
            </w:r>
          </w:p>
          <w:p w14:paraId="482CF890" w14:textId="77777777" w:rsidR="002B0E46" w:rsidRDefault="0055406D" w:rsidP="002B0E46">
            <w:pPr>
              <w:pStyle w:val="NormalWeb"/>
              <w:numPr>
                <w:ilvl w:val="1"/>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517336">
              <w:rPr>
                <w:rFonts w:asciiTheme="minorHAnsi" w:eastAsia="Times New Roman" w:hAnsiTheme="minorHAnsi" w:cstheme="minorHAnsi"/>
                <w:sz w:val="22"/>
                <w:szCs w:val="22"/>
              </w:rPr>
              <w:t>Evaluating overall group performance</w:t>
            </w:r>
          </w:p>
          <w:p w14:paraId="71E9F484" w14:textId="00488DCC" w:rsidR="0055406D" w:rsidRPr="002B0E46" w:rsidRDefault="002B0E46" w:rsidP="002B0E46">
            <w:pPr>
              <w:pStyle w:val="NormalWeb"/>
              <w:numPr>
                <w:ilvl w:val="1"/>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2B0E46">
              <w:rPr>
                <w:rFonts w:asciiTheme="minorHAnsi" w:eastAsia="Times New Roman" w:hAnsiTheme="minorHAnsi" w:cstheme="minorHAnsi"/>
                <w:sz w:val="22"/>
                <w:szCs w:val="22"/>
              </w:rPr>
              <w:t>I</w:t>
            </w:r>
            <w:r w:rsidR="0055406D" w:rsidRPr="002B0E46">
              <w:rPr>
                <w:rFonts w:asciiTheme="minorHAnsi" w:eastAsia="Times New Roman" w:hAnsiTheme="minorHAnsi" w:cstheme="minorHAnsi"/>
              </w:rPr>
              <w:t>dentify staff for professional development</w:t>
            </w:r>
          </w:p>
        </w:tc>
      </w:tr>
    </w:tbl>
    <w:p w14:paraId="3EF0076D" w14:textId="46CEC00A" w:rsidR="002212E1" w:rsidRPr="00517336" w:rsidRDefault="00B208A4" w:rsidP="00FF7D7F">
      <w:pPr>
        <w:spacing w:before="240" w:after="120" w:line="240" w:lineRule="auto"/>
        <w:rPr>
          <w:rFonts w:cstheme="minorHAnsi"/>
        </w:rPr>
      </w:pPr>
      <w:r w:rsidRPr="00517336">
        <w:rPr>
          <w:rFonts w:cstheme="minorHAnsi"/>
        </w:rPr>
        <w:t xml:space="preserve">For more information on this resource please refer to the vendor website and reach out to a representative. </w:t>
      </w:r>
    </w:p>
    <w:p w14:paraId="7BA97E1B" w14:textId="3D579551" w:rsidR="00405114" w:rsidRDefault="00F6332E" w:rsidP="00753DFF">
      <w:pPr>
        <w:spacing w:after="120" w:line="240" w:lineRule="auto"/>
      </w:pPr>
      <w:r w:rsidRPr="00517336">
        <w:rPr>
          <w:rFonts w:cstheme="minorHAnsi"/>
        </w:rPr>
        <w:t xml:space="preserve">Vendor Website: </w:t>
      </w:r>
      <w:hyperlink r:id="rId12" w:history="1">
        <w:r w:rsidR="00405114" w:rsidRPr="00573151">
          <w:rPr>
            <w:rStyle w:val="Hyperlink"/>
          </w:rPr>
          <w:t>https://public.cliengage.org/tools/assessment/circle-progress-monitoring/</w:t>
        </w:r>
      </w:hyperlink>
    </w:p>
    <w:p w14:paraId="2D863E53" w14:textId="110FA6A5" w:rsidR="00F6332E" w:rsidRPr="00517336" w:rsidRDefault="00F6332E" w:rsidP="00753DFF">
      <w:pPr>
        <w:spacing w:after="120" w:line="240" w:lineRule="auto"/>
        <w:rPr>
          <w:rFonts w:cstheme="minorHAnsi"/>
        </w:rPr>
      </w:pPr>
      <w:r w:rsidRPr="00517336">
        <w:rPr>
          <w:rFonts w:cstheme="minorHAnsi"/>
        </w:rPr>
        <w:t xml:space="preserve">Vendor Contact: </w:t>
      </w:r>
      <w:r w:rsidR="00886B52" w:rsidRPr="00517336">
        <w:rPr>
          <w:rFonts w:cstheme="minorHAnsi"/>
        </w:rPr>
        <w:t xml:space="preserve">Colleen Allen, </w:t>
      </w:r>
      <w:hyperlink r:id="rId13" w:history="1">
        <w:r w:rsidR="00C015B5" w:rsidRPr="00F10344">
          <w:rPr>
            <w:rStyle w:val="Hyperlink"/>
            <w:rFonts w:cstheme="minorHAnsi"/>
          </w:rPr>
          <w:t>colleen.m.schiebold@uth.tmc.edu</w:t>
        </w:r>
      </w:hyperlink>
      <w:r w:rsidR="00C015B5">
        <w:rPr>
          <w:rFonts w:cstheme="minorHAnsi"/>
        </w:rPr>
        <w:t xml:space="preserve"> </w:t>
      </w:r>
    </w:p>
    <w:p w14:paraId="6432FD52" w14:textId="36F35582" w:rsidR="00BD3AF5" w:rsidRPr="008C4A8A" w:rsidRDefault="00113406" w:rsidP="002B0E46">
      <w:pPr>
        <w:spacing w:after="120" w:line="240" w:lineRule="auto"/>
      </w:pPr>
      <w:r w:rsidRPr="00517336">
        <w:rPr>
          <w:rFonts w:eastAsiaTheme="minorEastAsia" w:cstheme="minorHAnsi"/>
          <w:color w:val="000000" w:themeColor="text1"/>
          <w:lang w:val="en"/>
        </w:rPr>
        <w:t xml:space="preserve">For more information on the Teacher Incentive Allotment, please visit the </w:t>
      </w:r>
      <w:hyperlink r:id="rId14">
        <w:r w:rsidRPr="00517336">
          <w:rPr>
            <w:rStyle w:val="Hyperlink"/>
            <w:rFonts w:eastAsiaTheme="minorEastAsia" w:cstheme="minorHAnsi"/>
            <w:lang w:val="en"/>
          </w:rPr>
          <w:t>Teacher Incentive Allotment website</w:t>
        </w:r>
        <w:r w:rsidRPr="002B0E46">
          <w:rPr>
            <w:rStyle w:val="Hyperlink"/>
            <w:rFonts w:eastAsiaTheme="minorEastAsia" w:cstheme="minorHAnsi"/>
            <w:color w:val="auto"/>
            <w:u w:val="none"/>
            <w:lang w:val="en"/>
          </w:rPr>
          <w:t>.</w:t>
        </w:r>
      </w:hyperlink>
    </w:p>
    <w:sectPr w:rsidR="00BD3AF5" w:rsidRPr="008C4A8A" w:rsidSect="0055406D">
      <w:footerReference w:type="default" r:id="rId15"/>
      <w:headerReference w:type="first" r:id="rId16"/>
      <w:footerReference w:type="first" r:id="rId17"/>
      <w:pgSz w:w="12240" w:h="15840"/>
      <w:pgMar w:top="720" w:right="720" w:bottom="216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2F85" w14:textId="77777777" w:rsidR="003D3393" w:rsidRDefault="003D3393" w:rsidP="0012010E">
      <w:pPr>
        <w:spacing w:after="0" w:line="240" w:lineRule="auto"/>
      </w:pPr>
      <w:r>
        <w:separator/>
      </w:r>
    </w:p>
  </w:endnote>
  <w:endnote w:type="continuationSeparator" w:id="0">
    <w:p w14:paraId="70D21DDA" w14:textId="77777777" w:rsidR="003D3393" w:rsidRDefault="003D3393" w:rsidP="0012010E">
      <w:pPr>
        <w:spacing w:after="0" w:line="240" w:lineRule="auto"/>
      </w:pPr>
      <w:r>
        <w:continuationSeparator/>
      </w:r>
    </w:p>
  </w:endnote>
  <w:endnote w:type="continuationNotice" w:id="1">
    <w:p w14:paraId="16498354" w14:textId="77777777" w:rsidR="003D3393" w:rsidRDefault="003D3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4D187206">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228E"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4FD9FB39">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3B0DD3A2">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6EFB9"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A3C4" w14:textId="77777777" w:rsidR="003D3393" w:rsidRDefault="003D3393" w:rsidP="0012010E">
      <w:pPr>
        <w:spacing w:after="0" w:line="240" w:lineRule="auto"/>
      </w:pPr>
      <w:r>
        <w:separator/>
      </w:r>
    </w:p>
  </w:footnote>
  <w:footnote w:type="continuationSeparator" w:id="0">
    <w:p w14:paraId="0B3FE22F" w14:textId="77777777" w:rsidR="003D3393" w:rsidRDefault="003D3393" w:rsidP="0012010E">
      <w:pPr>
        <w:spacing w:after="0" w:line="240" w:lineRule="auto"/>
      </w:pPr>
      <w:r>
        <w:continuationSeparator/>
      </w:r>
    </w:p>
  </w:footnote>
  <w:footnote w:type="continuationNotice" w:id="1">
    <w:p w14:paraId="7C92CA3F" w14:textId="77777777" w:rsidR="003D3393" w:rsidRDefault="003D33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7375" w14:textId="40FDCC01" w:rsidR="00E16E45" w:rsidRDefault="00BE3CA0">
    <w:pPr>
      <w:pStyle w:val="Header"/>
    </w:pPr>
    <w:r w:rsidRPr="00E9574A">
      <w:rPr>
        <w:noProof/>
      </w:rPr>
      <mc:AlternateContent>
        <mc:Choice Requires="wps">
          <w:drawing>
            <wp:anchor distT="0" distB="0" distL="114300" distR="114300" simplePos="0" relativeHeight="251664387" behindDoc="0" locked="0" layoutInCell="1" allowOverlap="1" wp14:anchorId="7DD8B742" wp14:editId="36D621C3">
              <wp:simplePos x="0" y="0"/>
              <wp:positionH relativeFrom="column">
                <wp:posOffset>5426710</wp:posOffset>
              </wp:positionH>
              <wp:positionV relativeFrom="paragraph">
                <wp:posOffset>460375</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6DA2FC3F" w14:textId="77777777" w:rsidR="00BE3CA0" w:rsidRPr="00D52F05" w:rsidRDefault="00655F3B" w:rsidP="00BE3CA0">
                          <w:pPr>
                            <w:spacing w:after="60"/>
                            <w:jc w:val="right"/>
                            <w:rPr>
                              <w:sz w:val="20"/>
                              <w:szCs w:val="20"/>
                            </w:rPr>
                          </w:pPr>
                          <w:hyperlink r:id="rId1" w:history="1">
                            <w:r w:rsidR="00BE3CA0" w:rsidRPr="00D52F05">
                              <w:rPr>
                                <w:rStyle w:val="Hyperlink"/>
                                <w:color w:val="auto"/>
                                <w:sz w:val="20"/>
                                <w:szCs w:val="20"/>
                                <w:u w:val="none"/>
                              </w:rPr>
                              <w:t>TIA@TEA.TEXAS.GOV</w:t>
                            </w:r>
                          </w:hyperlink>
                        </w:p>
                        <w:p w14:paraId="20B3E4AA" w14:textId="77777777" w:rsidR="00BE3CA0" w:rsidRPr="00D52F05" w:rsidRDefault="00BE3CA0" w:rsidP="00BE3CA0">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D8B742" id="_x0000_t202" coordsize="21600,21600" o:spt="202" path="m,l,21600r21600,l21600,xe">
              <v:stroke joinstyle="miter"/>
              <v:path gradientshapeok="t" o:connecttype="rect"/>
            </v:shapetype>
            <v:shape id="Text Box 11" o:spid="_x0000_s1026" type="#_x0000_t202" alt="&quot;&quot;" style="position:absolute;margin-left:427.3pt;margin-top:36.25pt;width:122.6pt;height:35.1pt;z-index:2516643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" filled="f" stroked="f" strokeweight=".5pt">
              <v:textbox>
                <w:txbxContent>
                  <w:p w14:paraId="6DA2FC3F" w14:textId="77777777" w:rsidR="00BE3CA0" w:rsidRPr="00D52F05" w:rsidRDefault="00655F3B" w:rsidP="00BE3CA0">
                    <w:pPr>
                      <w:spacing w:after="60"/>
                      <w:jc w:val="right"/>
                      <w:rPr>
                        <w:sz w:val="20"/>
                        <w:szCs w:val="20"/>
                      </w:rPr>
                    </w:pPr>
                    <w:hyperlink r:id="rId2" w:history="1">
                      <w:r w:rsidR="00BE3CA0" w:rsidRPr="00D52F05">
                        <w:rPr>
                          <w:rStyle w:val="Hyperlink"/>
                          <w:color w:val="auto"/>
                          <w:sz w:val="20"/>
                          <w:szCs w:val="20"/>
                          <w:u w:val="none"/>
                        </w:rPr>
                        <w:t>TIA@TEA.TEXAS.GOV</w:t>
                      </w:r>
                    </w:hyperlink>
                  </w:p>
                  <w:p w14:paraId="20B3E4AA" w14:textId="77777777" w:rsidR="00BE3CA0" w:rsidRPr="00D52F05" w:rsidRDefault="00BE3CA0" w:rsidP="00BE3CA0">
                    <w:pPr>
                      <w:spacing w:after="0"/>
                      <w:jc w:val="right"/>
                      <w:rPr>
                        <w:sz w:val="20"/>
                        <w:szCs w:val="20"/>
                      </w:rPr>
                    </w:pPr>
                    <w:r w:rsidRPr="00D52F05">
                      <w:rPr>
                        <w:sz w:val="20"/>
                        <w:szCs w:val="20"/>
                      </w:rPr>
                      <w:t>TIATEXAS.ORG</w:t>
                    </w:r>
                  </w:p>
                </w:txbxContent>
              </v:textbox>
            </v:shape>
          </w:pict>
        </mc:Fallback>
      </mc:AlternateContent>
    </w:r>
    <w:r w:rsidRPr="00E9574A">
      <w:rPr>
        <w:noProof/>
      </w:rPr>
      <mc:AlternateContent>
        <mc:Choice Requires="wps">
          <w:drawing>
            <wp:anchor distT="0" distB="0" distL="114300" distR="114300" simplePos="0" relativeHeight="251663363" behindDoc="0" locked="0" layoutInCell="1" allowOverlap="1" wp14:anchorId="06C2F7FB" wp14:editId="3DDB2AB2">
              <wp:simplePos x="0" y="0"/>
              <wp:positionH relativeFrom="column">
                <wp:posOffset>1617980</wp:posOffset>
              </wp:positionH>
              <wp:positionV relativeFrom="paragraph">
                <wp:posOffset>694690</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69AF0C" id="Rectangle 10" o:spid="_x0000_s1026" alt="&quot;&quot;" style="position:absolute;margin-left:127.4pt;margin-top:54.7pt;width:224.95pt;height:12.35pt;z-index:251663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" fillcolor="#f8cc2b [3206]" stroked="f" strokeweight="1pt"/>
          </w:pict>
        </mc:Fallback>
      </mc:AlternateContent>
    </w:r>
    <w:r w:rsidRPr="00E9574A">
      <w:rPr>
        <w:noProof/>
      </w:rPr>
      <mc:AlternateContent>
        <mc:Choice Requires="wps">
          <w:drawing>
            <wp:anchor distT="0" distB="0" distL="114300" distR="114300" simplePos="0" relativeHeight="251662339" behindDoc="0" locked="0" layoutInCell="1" allowOverlap="1" wp14:anchorId="77F60B8B" wp14:editId="1C01B254">
              <wp:simplePos x="0" y="0"/>
              <wp:positionH relativeFrom="column">
                <wp:posOffset>1617980</wp:posOffset>
              </wp:positionH>
              <wp:positionV relativeFrom="paragraph">
                <wp:posOffset>500380</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636CE" id="Rectangle 9" o:spid="_x0000_s1026" alt="&quot;&quot;" style="position:absolute;margin-left:127.4pt;margin-top:39.4pt;width:304.05pt;height:12.35pt;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" fillcolor="#87c54a [3205]" stroked="f" strokeweight="1pt"/>
          </w:pict>
        </mc:Fallback>
      </mc:AlternateContent>
    </w:r>
    <w:r w:rsidRPr="00E9574A">
      <w:rPr>
        <w:noProof/>
      </w:rPr>
      <mc:AlternateContent>
        <mc:Choice Requires="wps">
          <w:drawing>
            <wp:anchor distT="0" distB="0" distL="114300" distR="114300" simplePos="0" relativeHeight="251661315" behindDoc="0" locked="0" layoutInCell="1" allowOverlap="1" wp14:anchorId="26F43D63" wp14:editId="0822F4D2">
              <wp:simplePos x="0" y="0"/>
              <wp:positionH relativeFrom="column">
                <wp:posOffset>1617980</wp:posOffset>
              </wp:positionH>
              <wp:positionV relativeFrom="paragraph">
                <wp:posOffset>309245</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F3D98" id="Rectangle 1" o:spid="_x0000_s1026" alt="&quot;&quot;" style="position:absolute;margin-left:127.4pt;margin-top:24.35pt;width:415.35pt;height:12.35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" fillcolor="#00a69b [3204]" stroked="f" strokeweight="1pt"/>
          </w:pict>
        </mc:Fallback>
      </mc:AlternateContent>
    </w:r>
    <w:r w:rsidRPr="00E9574A">
      <w:rPr>
        <w:noProof/>
      </w:rPr>
      <w:drawing>
        <wp:anchor distT="0" distB="0" distL="114300" distR="114300" simplePos="0" relativeHeight="251660291" behindDoc="0" locked="0" layoutInCell="1" allowOverlap="1" wp14:anchorId="3E814673" wp14:editId="136C0CA6">
          <wp:simplePos x="0" y="0"/>
          <wp:positionH relativeFrom="column">
            <wp:posOffset>0</wp:posOffset>
          </wp:positionH>
          <wp:positionV relativeFrom="paragraph">
            <wp:posOffset>336550</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5307"/>
    <w:multiLevelType w:val="hybridMultilevel"/>
    <w:tmpl w:val="0AD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3039"/>
    <w:multiLevelType w:val="hybridMultilevel"/>
    <w:tmpl w:val="4D88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C76FE"/>
    <w:multiLevelType w:val="hybridMultilevel"/>
    <w:tmpl w:val="76FC4572"/>
    <w:lvl w:ilvl="0" w:tplc="04090001">
      <w:start w:val="1"/>
      <w:numFmt w:val="bullet"/>
      <w:lvlText w:val=""/>
      <w:lvlJc w:val="left"/>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72124"/>
    <w:multiLevelType w:val="hybridMultilevel"/>
    <w:tmpl w:val="6982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96396"/>
    <w:multiLevelType w:val="multilevel"/>
    <w:tmpl w:val="616C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87CAB"/>
    <w:multiLevelType w:val="hybridMultilevel"/>
    <w:tmpl w:val="F448F6BE"/>
    <w:lvl w:ilvl="0" w:tplc="5798B56C">
      <w:start w:val="1"/>
      <w:numFmt w:val="decimal"/>
      <w:lvlText w:val="%1."/>
      <w:lvlJc w:val="left"/>
      <w:pPr>
        <w:tabs>
          <w:tab w:val="num" w:pos="720"/>
        </w:tabs>
        <w:ind w:left="720" w:hanging="360"/>
      </w:pPr>
    </w:lvl>
    <w:lvl w:ilvl="1" w:tplc="617E775C" w:tentative="1">
      <w:start w:val="1"/>
      <w:numFmt w:val="decimal"/>
      <w:lvlText w:val="%2."/>
      <w:lvlJc w:val="left"/>
      <w:pPr>
        <w:tabs>
          <w:tab w:val="num" w:pos="1440"/>
        </w:tabs>
        <w:ind w:left="1440" w:hanging="360"/>
      </w:pPr>
    </w:lvl>
    <w:lvl w:ilvl="2" w:tplc="722ED6B2" w:tentative="1">
      <w:start w:val="1"/>
      <w:numFmt w:val="decimal"/>
      <w:lvlText w:val="%3."/>
      <w:lvlJc w:val="left"/>
      <w:pPr>
        <w:tabs>
          <w:tab w:val="num" w:pos="2160"/>
        </w:tabs>
        <w:ind w:left="2160" w:hanging="360"/>
      </w:pPr>
    </w:lvl>
    <w:lvl w:ilvl="3" w:tplc="1FBE201E" w:tentative="1">
      <w:start w:val="1"/>
      <w:numFmt w:val="decimal"/>
      <w:lvlText w:val="%4."/>
      <w:lvlJc w:val="left"/>
      <w:pPr>
        <w:tabs>
          <w:tab w:val="num" w:pos="2880"/>
        </w:tabs>
        <w:ind w:left="2880" w:hanging="360"/>
      </w:pPr>
    </w:lvl>
    <w:lvl w:ilvl="4" w:tplc="832CBC84" w:tentative="1">
      <w:start w:val="1"/>
      <w:numFmt w:val="decimal"/>
      <w:lvlText w:val="%5."/>
      <w:lvlJc w:val="left"/>
      <w:pPr>
        <w:tabs>
          <w:tab w:val="num" w:pos="3600"/>
        </w:tabs>
        <w:ind w:left="3600" w:hanging="360"/>
      </w:pPr>
    </w:lvl>
    <w:lvl w:ilvl="5" w:tplc="A168AB66" w:tentative="1">
      <w:start w:val="1"/>
      <w:numFmt w:val="decimal"/>
      <w:lvlText w:val="%6."/>
      <w:lvlJc w:val="left"/>
      <w:pPr>
        <w:tabs>
          <w:tab w:val="num" w:pos="4320"/>
        </w:tabs>
        <w:ind w:left="4320" w:hanging="360"/>
      </w:pPr>
    </w:lvl>
    <w:lvl w:ilvl="6" w:tplc="E494960C" w:tentative="1">
      <w:start w:val="1"/>
      <w:numFmt w:val="decimal"/>
      <w:lvlText w:val="%7."/>
      <w:lvlJc w:val="left"/>
      <w:pPr>
        <w:tabs>
          <w:tab w:val="num" w:pos="5040"/>
        </w:tabs>
        <w:ind w:left="5040" w:hanging="360"/>
      </w:pPr>
    </w:lvl>
    <w:lvl w:ilvl="7" w:tplc="CCF803DE" w:tentative="1">
      <w:start w:val="1"/>
      <w:numFmt w:val="decimal"/>
      <w:lvlText w:val="%8."/>
      <w:lvlJc w:val="left"/>
      <w:pPr>
        <w:tabs>
          <w:tab w:val="num" w:pos="5760"/>
        </w:tabs>
        <w:ind w:left="5760" w:hanging="360"/>
      </w:pPr>
    </w:lvl>
    <w:lvl w:ilvl="8" w:tplc="9C640D84" w:tentative="1">
      <w:start w:val="1"/>
      <w:numFmt w:val="decimal"/>
      <w:lvlText w:val="%9."/>
      <w:lvlJc w:val="left"/>
      <w:pPr>
        <w:tabs>
          <w:tab w:val="num" w:pos="6480"/>
        </w:tabs>
        <w:ind w:left="6480" w:hanging="360"/>
      </w:pPr>
    </w:lvl>
  </w:abstractNum>
  <w:num w:numId="1" w16cid:durableId="802576156">
    <w:abstractNumId w:val="5"/>
  </w:num>
  <w:num w:numId="2" w16cid:durableId="1760786404">
    <w:abstractNumId w:val="7"/>
  </w:num>
  <w:num w:numId="3" w16cid:durableId="1250386194">
    <w:abstractNumId w:val="3"/>
  </w:num>
  <w:num w:numId="4" w16cid:durableId="1864980266">
    <w:abstractNumId w:val="8"/>
  </w:num>
  <w:num w:numId="5" w16cid:durableId="1268346284">
    <w:abstractNumId w:val="6"/>
  </w:num>
  <w:num w:numId="6" w16cid:durableId="1287393302">
    <w:abstractNumId w:val="4"/>
  </w:num>
  <w:num w:numId="7" w16cid:durableId="1010448384">
    <w:abstractNumId w:val="0"/>
  </w:num>
  <w:num w:numId="8" w16cid:durableId="329334077">
    <w:abstractNumId w:val="9"/>
  </w:num>
  <w:num w:numId="9" w16cid:durableId="1986660377">
    <w:abstractNumId w:val="2"/>
  </w:num>
  <w:num w:numId="10" w16cid:durableId="131564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1F68"/>
    <w:rsid w:val="0001258C"/>
    <w:rsid w:val="00027771"/>
    <w:rsid w:val="000310F5"/>
    <w:rsid w:val="00031377"/>
    <w:rsid w:val="00040603"/>
    <w:rsid w:val="00044380"/>
    <w:rsid w:val="00054089"/>
    <w:rsid w:val="00062DB0"/>
    <w:rsid w:val="00092E4A"/>
    <w:rsid w:val="00094CBD"/>
    <w:rsid w:val="0009509A"/>
    <w:rsid w:val="000957EC"/>
    <w:rsid w:val="000E240E"/>
    <w:rsid w:val="000F3839"/>
    <w:rsid w:val="00113406"/>
    <w:rsid w:val="0011572D"/>
    <w:rsid w:val="0011715A"/>
    <w:rsid w:val="0012010E"/>
    <w:rsid w:val="001468AD"/>
    <w:rsid w:val="001613DD"/>
    <w:rsid w:val="00162DE6"/>
    <w:rsid w:val="0018101C"/>
    <w:rsid w:val="00183FC4"/>
    <w:rsid w:val="00187D5B"/>
    <w:rsid w:val="001A167C"/>
    <w:rsid w:val="001B6ECE"/>
    <w:rsid w:val="001C08AD"/>
    <w:rsid w:val="001D2D69"/>
    <w:rsid w:val="001D5C94"/>
    <w:rsid w:val="001F03BE"/>
    <w:rsid w:val="002212E1"/>
    <w:rsid w:val="0025788D"/>
    <w:rsid w:val="002931E7"/>
    <w:rsid w:val="0029615C"/>
    <w:rsid w:val="00296F00"/>
    <w:rsid w:val="002A6F60"/>
    <w:rsid w:val="002B0E46"/>
    <w:rsid w:val="002C1F0A"/>
    <w:rsid w:val="002C237C"/>
    <w:rsid w:val="002C2D06"/>
    <w:rsid w:val="002E5321"/>
    <w:rsid w:val="002E6332"/>
    <w:rsid w:val="00314AD7"/>
    <w:rsid w:val="003221C4"/>
    <w:rsid w:val="00327F99"/>
    <w:rsid w:val="003355FA"/>
    <w:rsid w:val="00337BB3"/>
    <w:rsid w:val="003460DF"/>
    <w:rsid w:val="00363342"/>
    <w:rsid w:val="003748B1"/>
    <w:rsid w:val="003828D1"/>
    <w:rsid w:val="00382BC6"/>
    <w:rsid w:val="00385F6D"/>
    <w:rsid w:val="00392647"/>
    <w:rsid w:val="003D3393"/>
    <w:rsid w:val="003D3A67"/>
    <w:rsid w:val="003E1B04"/>
    <w:rsid w:val="003E337B"/>
    <w:rsid w:val="00405114"/>
    <w:rsid w:val="004115BA"/>
    <w:rsid w:val="00424E30"/>
    <w:rsid w:val="004307DA"/>
    <w:rsid w:val="0043135A"/>
    <w:rsid w:val="00445945"/>
    <w:rsid w:val="00453929"/>
    <w:rsid w:val="0046468B"/>
    <w:rsid w:val="004952E6"/>
    <w:rsid w:val="004A7138"/>
    <w:rsid w:val="004B2136"/>
    <w:rsid w:val="004B7790"/>
    <w:rsid w:val="004C1CB8"/>
    <w:rsid w:val="004D5D38"/>
    <w:rsid w:val="004E2201"/>
    <w:rsid w:val="004E405C"/>
    <w:rsid w:val="005023DC"/>
    <w:rsid w:val="00507148"/>
    <w:rsid w:val="00517336"/>
    <w:rsid w:val="00525F5D"/>
    <w:rsid w:val="00533167"/>
    <w:rsid w:val="005354E5"/>
    <w:rsid w:val="00553E96"/>
    <w:rsid w:val="0055406D"/>
    <w:rsid w:val="00555CA1"/>
    <w:rsid w:val="005808A6"/>
    <w:rsid w:val="005A36A5"/>
    <w:rsid w:val="005B6CED"/>
    <w:rsid w:val="005C7009"/>
    <w:rsid w:val="005D2745"/>
    <w:rsid w:val="005D5290"/>
    <w:rsid w:val="006079BE"/>
    <w:rsid w:val="00607C76"/>
    <w:rsid w:val="006124CE"/>
    <w:rsid w:val="0061734C"/>
    <w:rsid w:val="00630A6D"/>
    <w:rsid w:val="00643C8E"/>
    <w:rsid w:val="006467F4"/>
    <w:rsid w:val="0065099E"/>
    <w:rsid w:val="00655F3B"/>
    <w:rsid w:val="00672CF2"/>
    <w:rsid w:val="0068353F"/>
    <w:rsid w:val="0068454B"/>
    <w:rsid w:val="00694A07"/>
    <w:rsid w:val="006A00D9"/>
    <w:rsid w:val="006D1B63"/>
    <w:rsid w:val="006F4BAA"/>
    <w:rsid w:val="007205F0"/>
    <w:rsid w:val="00730801"/>
    <w:rsid w:val="00731B1E"/>
    <w:rsid w:val="00752029"/>
    <w:rsid w:val="00753DFF"/>
    <w:rsid w:val="00756909"/>
    <w:rsid w:val="0075724B"/>
    <w:rsid w:val="00765FD6"/>
    <w:rsid w:val="00770770"/>
    <w:rsid w:val="00772BC4"/>
    <w:rsid w:val="007850B3"/>
    <w:rsid w:val="00794A64"/>
    <w:rsid w:val="007B2B4B"/>
    <w:rsid w:val="007C045F"/>
    <w:rsid w:val="007C344D"/>
    <w:rsid w:val="007E5C90"/>
    <w:rsid w:val="007E6D24"/>
    <w:rsid w:val="007F2E23"/>
    <w:rsid w:val="007F5204"/>
    <w:rsid w:val="00826DE4"/>
    <w:rsid w:val="00830091"/>
    <w:rsid w:val="008416F6"/>
    <w:rsid w:val="00854177"/>
    <w:rsid w:val="00865E4E"/>
    <w:rsid w:val="0086723F"/>
    <w:rsid w:val="00886B52"/>
    <w:rsid w:val="008B135D"/>
    <w:rsid w:val="008C4A8A"/>
    <w:rsid w:val="008D4666"/>
    <w:rsid w:val="008E2F63"/>
    <w:rsid w:val="008E5C31"/>
    <w:rsid w:val="008E7A13"/>
    <w:rsid w:val="008F0B49"/>
    <w:rsid w:val="009261C9"/>
    <w:rsid w:val="00936F9F"/>
    <w:rsid w:val="009475B7"/>
    <w:rsid w:val="00970550"/>
    <w:rsid w:val="00985D1A"/>
    <w:rsid w:val="009A0F77"/>
    <w:rsid w:val="009A53EA"/>
    <w:rsid w:val="009B6A21"/>
    <w:rsid w:val="009D20FB"/>
    <w:rsid w:val="009D33C5"/>
    <w:rsid w:val="009E5751"/>
    <w:rsid w:val="009F0A83"/>
    <w:rsid w:val="00A05155"/>
    <w:rsid w:val="00A16475"/>
    <w:rsid w:val="00A3784A"/>
    <w:rsid w:val="00A4217A"/>
    <w:rsid w:val="00A4700C"/>
    <w:rsid w:val="00A56EB7"/>
    <w:rsid w:val="00A71152"/>
    <w:rsid w:val="00A71857"/>
    <w:rsid w:val="00A862A4"/>
    <w:rsid w:val="00A9006F"/>
    <w:rsid w:val="00AA0F53"/>
    <w:rsid w:val="00AA14DA"/>
    <w:rsid w:val="00AC4680"/>
    <w:rsid w:val="00AD07A0"/>
    <w:rsid w:val="00AD1CBF"/>
    <w:rsid w:val="00AE1C90"/>
    <w:rsid w:val="00AE6AE9"/>
    <w:rsid w:val="00AF0EFA"/>
    <w:rsid w:val="00B02642"/>
    <w:rsid w:val="00B05329"/>
    <w:rsid w:val="00B05A8C"/>
    <w:rsid w:val="00B154E4"/>
    <w:rsid w:val="00B208A4"/>
    <w:rsid w:val="00B22AD1"/>
    <w:rsid w:val="00B37AE9"/>
    <w:rsid w:val="00B47A19"/>
    <w:rsid w:val="00B53D55"/>
    <w:rsid w:val="00B616EA"/>
    <w:rsid w:val="00B64914"/>
    <w:rsid w:val="00B92374"/>
    <w:rsid w:val="00BB7A6F"/>
    <w:rsid w:val="00BD3946"/>
    <w:rsid w:val="00BD3AF5"/>
    <w:rsid w:val="00BD495D"/>
    <w:rsid w:val="00BD5BE6"/>
    <w:rsid w:val="00BE3CA0"/>
    <w:rsid w:val="00BE7E33"/>
    <w:rsid w:val="00BF0EAB"/>
    <w:rsid w:val="00C015B5"/>
    <w:rsid w:val="00C53C49"/>
    <w:rsid w:val="00C679B7"/>
    <w:rsid w:val="00C96E2E"/>
    <w:rsid w:val="00CA3280"/>
    <w:rsid w:val="00CF6198"/>
    <w:rsid w:val="00D11FDF"/>
    <w:rsid w:val="00D12261"/>
    <w:rsid w:val="00D1326C"/>
    <w:rsid w:val="00D1452B"/>
    <w:rsid w:val="00D26E20"/>
    <w:rsid w:val="00D311E7"/>
    <w:rsid w:val="00D5492C"/>
    <w:rsid w:val="00D56F89"/>
    <w:rsid w:val="00D96FC7"/>
    <w:rsid w:val="00DC197A"/>
    <w:rsid w:val="00DC5F28"/>
    <w:rsid w:val="00DC77E9"/>
    <w:rsid w:val="00DE083E"/>
    <w:rsid w:val="00DE394D"/>
    <w:rsid w:val="00DF108D"/>
    <w:rsid w:val="00E00104"/>
    <w:rsid w:val="00E003B7"/>
    <w:rsid w:val="00E02134"/>
    <w:rsid w:val="00E16E45"/>
    <w:rsid w:val="00E25304"/>
    <w:rsid w:val="00E25556"/>
    <w:rsid w:val="00E32DDA"/>
    <w:rsid w:val="00E438ED"/>
    <w:rsid w:val="00E678E9"/>
    <w:rsid w:val="00E9614C"/>
    <w:rsid w:val="00E97A68"/>
    <w:rsid w:val="00EA675C"/>
    <w:rsid w:val="00EB799F"/>
    <w:rsid w:val="00ED3BF0"/>
    <w:rsid w:val="00EE6D40"/>
    <w:rsid w:val="00F063F6"/>
    <w:rsid w:val="00F118F6"/>
    <w:rsid w:val="00F23C94"/>
    <w:rsid w:val="00F4238F"/>
    <w:rsid w:val="00F6332E"/>
    <w:rsid w:val="00F65638"/>
    <w:rsid w:val="00FB25C2"/>
    <w:rsid w:val="00FB4EDB"/>
    <w:rsid w:val="00FB77E6"/>
    <w:rsid w:val="00FC4791"/>
    <w:rsid w:val="00FC5388"/>
    <w:rsid w:val="00FE326A"/>
    <w:rsid w:val="00FF2C91"/>
    <w:rsid w:val="00FF6396"/>
    <w:rsid w:val="00FF7D7F"/>
    <w:rsid w:val="4FC59B16"/>
    <w:rsid w:val="609D7078"/>
    <w:rsid w:val="6AEF49C2"/>
    <w:rsid w:val="7655DDA4"/>
    <w:rsid w:val="7C50D9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9FBB20C6-8654-4DC5-AE5B-A764B9DA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AF0EFA"/>
    <w:pPr>
      <w:keepNext/>
      <w:keepLines/>
      <w:pBdr>
        <w:bottom w:val="single" w:sz="12" w:space="1" w:color="87C54A" w:themeColor="accent2"/>
      </w:pBdr>
      <w:spacing w:before="480" w:after="240"/>
      <w:outlineLvl w:val="0"/>
    </w:pPr>
    <w:rPr>
      <w:rFonts w:asciiTheme="majorHAnsi" w:eastAsiaTheme="majorEastAsia" w:hAnsiTheme="majorHAnsi" w:cstheme="majorBidi"/>
      <w:caps/>
      <w:color w:val="F8CC2B" w:themeColor="accent3"/>
      <w:sz w:val="32"/>
      <w:szCs w:val="32"/>
    </w:rPr>
  </w:style>
  <w:style w:type="paragraph" w:styleId="Heading2">
    <w:name w:val="heading 2"/>
    <w:basedOn w:val="Normal"/>
    <w:next w:val="Normal"/>
    <w:link w:val="Heading2Char"/>
    <w:uiPriority w:val="9"/>
    <w:unhideWhenUsed/>
    <w:qFormat/>
    <w:rsid w:val="000E240E"/>
    <w:pPr>
      <w:spacing w:before="360" w:after="120"/>
      <w:outlineLvl w:val="1"/>
    </w:pPr>
    <w:rPr>
      <w:b/>
      <w:color w:val="649931" w:themeColor="accent2" w:themeShade="BF"/>
      <w:sz w:val="28"/>
      <w:szCs w:val="32"/>
    </w:rPr>
  </w:style>
  <w:style w:type="paragraph" w:styleId="Heading3">
    <w:name w:val="heading 3"/>
    <w:basedOn w:val="Normal"/>
    <w:next w:val="Normal"/>
    <w:link w:val="Heading3Char"/>
    <w:uiPriority w:val="9"/>
    <w:unhideWhenUsed/>
    <w:qFormat/>
    <w:rsid w:val="006079BE"/>
    <w:pPr>
      <w:spacing w:before="240" w:after="240"/>
      <w:outlineLvl w:val="2"/>
    </w:pPr>
    <w:rPr>
      <w:bCs/>
      <w:color w:val="F8CC2B" w:themeColor="accent3"/>
      <w:sz w:val="24"/>
      <w:szCs w:val="28"/>
    </w:rPr>
  </w:style>
  <w:style w:type="paragraph" w:styleId="Heading4">
    <w:name w:val="heading 4"/>
    <w:basedOn w:val="Normal"/>
    <w:next w:val="Normal"/>
    <w:link w:val="Heading4Char"/>
    <w:uiPriority w:val="9"/>
    <w:unhideWhenUsed/>
    <w:qFormat/>
    <w:rsid w:val="00027771"/>
    <w:pPr>
      <w:spacing w:before="40" w:after="0"/>
      <w:outlineLvl w:val="3"/>
    </w:pPr>
    <w:rPr>
      <w:rFonts w:asciiTheme="majorHAnsi" w:hAnsiTheme="majorHAnsi"/>
      <w:color w:val="F8CC2B" w:themeColor="accent3"/>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027771"/>
    <w:pPr>
      <w:keepNext/>
      <w:keepLines/>
      <w:spacing w:before="40" w:after="0"/>
      <w:outlineLvl w:val="5"/>
    </w:pPr>
    <w:rPr>
      <w:rFonts w:asciiTheme="majorHAnsi" w:eastAsiaTheme="majorEastAsia" w:hAnsiTheme="majorHAnsi" w:cstheme="majorBidi"/>
      <w:color w:val="436621" w:themeColor="accent2" w:themeShade="80"/>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436621"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0E240E"/>
    <w:rPr>
      <w:b/>
      <w:color w:val="649931" w:themeColor="accent2" w:themeShade="BF"/>
      <w:sz w:val="28"/>
      <w:szCs w:val="32"/>
    </w:rPr>
  </w:style>
  <w:style w:type="character" w:customStyle="1" w:styleId="Heading3Char">
    <w:name w:val="Heading 3 Char"/>
    <w:basedOn w:val="DefaultParagraphFont"/>
    <w:link w:val="Heading3"/>
    <w:uiPriority w:val="9"/>
    <w:rsid w:val="006079BE"/>
    <w:rPr>
      <w:bCs/>
      <w:color w:val="F8CC2B" w:themeColor="accent3"/>
      <w:sz w:val="24"/>
      <w:szCs w:val="28"/>
    </w:rPr>
  </w:style>
  <w:style w:type="character" w:customStyle="1" w:styleId="Heading4Char">
    <w:name w:val="Heading 4 Char"/>
    <w:basedOn w:val="DefaultParagraphFont"/>
    <w:link w:val="Heading4"/>
    <w:uiPriority w:val="9"/>
    <w:rsid w:val="00027771"/>
    <w:rPr>
      <w:rFonts w:asciiTheme="majorHAnsi" w:hAnsiTheme="majorHAnsi"/>
      <w:color w:val="F8CC2B" w:themeColor="accent3"/>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AF0EFA"/>
    <w:rPr>
      <w:rFonts w:asciiTheme="majorHAnsi" w:eastAsiaTheme="majorEastAsia" w:hAnsiTheme="majorHAnsi" w:cstheme="majorBidi"/>
      <w:caps/>
      <w:color w:val="F8CC2B" w:themeColor="accent3"/>
      <w:sz w:val="32"/>
      <w:szCs w:val="32"/>
    </w:rPr>
  </w:style>
  <w:style w:type="character" w:customStyle="1" w:styleId="Heading6Char">
    <w:name w:val="Heading 6 Char"/>
    <w:basedOn w:val="DefaultParagraphFont"/>
    <w:link w:val="Heading6"/>
    <w:uiPriority w:val="9"/>
    <w:rsid w:val="00027771"/>
    <w:rPr>
      <w:rFonts w:asciiTheme="majorHAnsi" w:eastAsiaTheme="majorEastAsia" w:hAnsiTheme="majorHAnsi" w:cstheme="majorBidi"/>
      <w:color w:val="436621" w:themeColor="accent2" w:themeShade="80"/>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436621"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uiPriority w:val="99"/>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85D1A"/>
    <w:rPr>
      <w:color w:val="605E5C"/>
      <w:shd w:val="clear" w:color="auto" w:fill="E1DFDD"/>
    </w:rPr>
  </w:style>
  <w:style w:type="paragraph" w:styleId="NormalWeb">
    <w:name w:val="Normal (Web)"/>
    <w:basedOn w:val="Normal"/>
    <w:uiPriority w:val="99"/>
    <w:unhideWhenUsed/>
    <w:rsid w:val="00770770"/>
    <w:pPr>
      <w:spacing w:after="160"/>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character" w:styleId="Mention">
    <w:name w:val="Mention"/>
    <w:basedOn w:val="DefaultParagraphFont"/>
    <w:uiPriority w:val="99"/>
    <w:unhideWhenUsed/>
    <w:rsid w:val="00FC4791"/>
    <w:rPr>
      <w:color w:val="2B579A"/>
      <w:shd w:val="clear" w:color="auto" w:fill="E1DFDD"/>
    </w:rPr>
  </w:style>
  <w:style w:type="character" w:styleId="FollowedHyperlink">
    <w:name w:val="FollowedHyperlink"/>
    <w:basedOn w:val="DefaultParagraphFont"/>
    <w:uiPriority w:val="99"/>
    <w:semiHidden/>
    <w:unhideWhenUsed/>
    <w:rsid w:val="0068454B"/>
    <w:rPr>
      <w:color w:val="007C74" w:themeColor="followedHyperlink"/>
      <w:u w:val="single"/>
    </w:rPr>
  </w:style>
  <w:style w:type="table" w:styleId="ListTable3-Accent1">
    <w:name w:val="List Table 3 Accent 1"/>
    <w:basedOn w:val="TableNormal"/>
    <w:uiPriority w:val="48"/>
    <w:rsid w:val="00BD5BE6"/>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413">
      <w:bodyDiv w:val="1"/>
      <w:marLeft w:val="0"/>
      <w:marRight w:val="0"/>
      <w:marTop w:val="0"/>
      <w:marBottom w:val="0"/>
      <w:divBdr>
        <w:top w:val="none" w:sz="0" w:space="0" w:color="auto"/>
        <w:left w:val="none" w:sz="0" w:space="0" w:color="auto"/>
        <w:bottom w:val="none" w:sz="0" w:space="0" w:color="auto"/>
        <w:right w:val="none" w:sz="0" w:space="0" w:color="auto"/>
      </w:divBdr>
    </w:div>
    <w:div w:id="355892293">
      <w:bodyDiv w:val="1"/>
      <w:marLeft w:val="0"/>
      <w:marRight w:val="0"/>
      <w:marTop w:val="0"/>
      <w:marBottom w:val="0"/>
      <w:divBdr>
        <w:top w:val="none" w:sz="0" w:space="0" w:color="auto"/>
        <w:left w:val="none" w:sz="0" w:space="0" w:color="auto"/>
        <w:bottom w:val="none" w:sz="0" w:space="0" w:color="auto"/>
        <w:right w:val="none" w:sz="0" w:space="0" w:color="auto"/>
      </w:divBdr>
      <w:divsChild>
        <w:div w:id="16545646">
          <w:marLeft w:val="720"/>
          <w:marRight w:val="0"/>
          <w:marTop w:val="200"/>
          <w:marBottom w:val="0"/>
          <w:divBdr>
            <w:top w:val="none" w:sz="0" w:space="0" w:color="auto"/>
            <w:left w:val="none" w:sz="0" w:space="0" w:color="auto"/>
            <w:bottom w:val="none" w:sz="0" w:space="0" w:color="auto"/>
            <w:right w:val="none" w:sz="0" w:space="0" w:color="auto"/>
          </w:divBdr>
        </w:div>
        <w:div w:id="1054936608">
          <w:marLeft w:val="720"/>
          <w:marRight w:val="0"/>
          <w:marTop w:val="200"/>
          <w:marBottom w:val="0"/>
          <w:divBdr>
            <w:top w:val="none" w:sz="0" w:space="0" w:color="auto"/>
            <w:left w:val="none" w:sz="0" w:space="0" w:color="auto"/>
            <w:bottom w:val="none" w:sz="0" w:space="0" w:color="auto"/>
            <w:right w:val="none" w:sz="0" w:space="0" w:color="auto"/>
          </w:divBdr>
        </w:div>
        <w:div w:id="1648777366">
          <w:marLeft w:val="720"/>
          <w:marRight w:val="0"/>
          <w:marTop w:val="200"/>
          <w:marBottom w:val="0"/>
          <w:divBdr>
            <w:top w:val="none" w:sz="0" w:space="0" w:color="auto"/>
            <w:left w:val="none" w:sz="0" w:space="0" w:color="auto"/>
            <w:bottom w:val="none" w:sz="0" w:space="0" w:color="auto"/>
            <w:right w:val="none" w:sz="0" w:space="0" w:color="auto"/>
          </w:divBdr>
        </w:div>
      </w:divsChild>
    </w:div>
    <w:div w:id="5334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leen.m.schiebold@uth.tm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cliengage.org/tools/assessment/circle-progress-monitor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cliengage.org/training/diving-deeper/accessing-repor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iatexas.org/wp-content/uploads/2022/02/Guidance-for-Districts-Using-the-Circle-Assessments.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a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TIA@TEA.TEXAS.GOV" TargetMode="External"/><Relationship Id="rId1" Type="http://schemas.openxmlformats.org/officeDocument/2006/relationships/hyperlink" Target="mailto:TIA@TEA.TEXAS.GOV" TargetMode="External"/></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4" ma:contentTypeDescription="Create a new document." ma:contentTypeScope="" ma:versionID="502ed03c3e35da23c13c09227bf43b1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9421725c09d0f3edbea8f1f6c1309576"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404C1-532E-4141-993C-F9319CECFB3F}">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55ad0659-6a5d-4092-b991-df82805f26a4"/>
    <ds:schemaRef ds:uri="http://schemas.microsoft.com/office/2006/metadata/properties"/>
    <ds:schemaRef ds:uri="http://purl.org/dc/elements/1.1/"/>
    <ds:schemaRef ds:uri="4780d0d2-c080-455e-bee8-5b3382ef325a"/>
    <ds:schemaRef ds:uri="http://www.w3.org/XML/1998/namespace"/>
  </ds:schemaRefs>
</ds:datastoreItem>
</file>

<file path=customXml/itemProps2.xml><?xml version="1.0" encoding="utf-8"?>
<ds:datastoreItem xmlns:ds="http://schemas.openxmlformats.org/officeDocument/2006/customXml" ds:itemID="{321BA3DD-B366-4F50-AD00-7C4AC80F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20DE-20D2-471F-8A28-C3A2AEC94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906</Words>
  <Characters>5169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Links>
    <vt:vector size="24" baseType="variant">
      <vt:variant>
        <vt:i4>1900559</vt:i4>
      </vt:variant>
      <vt:variant>
        <vt:i4>9</vt:i4>
      </vt:variant>
      <vt:variant>
        <vt:i4>0</vt:i4>
      </vt:variant>
      <vt:variant>
        <vt:i4>5</vt:i4>
      </vt:variant>
      <vt:variant>
        <vt:lpwstr>https://public.cliengage.org/tools/assessment/circle-progress-monitoring/</vt:lpwstr>
      </vt:variant>
      <vt:variant>
        <vt:lpwstr/>
      </vt:variant>
      <vt:variant>
        <vt:i4>7471152</vt:i4>
      </vt:variant>
      <vt:variant>
        <vt:i4>6</vt:i4>
      </vt:variant>
      <vt:variant>
        <vt:i4>0</vt:i4>
      </vt:variant>
      <vt:variant>
        <vt:i4>5</vt:i4>
      </vt:variant>
      <vt:variant>
        <vt:lpwstr>https://public.cliengage.org/training/diving-deeper/accessing-reports/</vt:lpwstr>
      </vt:variant>
      <vt:variant>
        <vt:lpwstr/>
      </vt:variant>
      <vt:variant>
        <vt:i4>3735661</vt:i4>
      </vt:variant>
      <vt:variant>
        <vt:i4>3</vt:i4>
      </vt:variant>
      <vt:variant>
        <vt:i4>0</vt:i4>
      </vt:variant>
      <vt:variant>
        <vt:i4>5</vt:i4>
      </vt:variant>
      <vt:variant>
        <vt:lpwstr>https://tiatexas.org/wp-content/uploads/2022/02/Guidance-for-Districts-Using-the-Circle-Assessments.pdf</vt:lpwstr>
      </vt:variant>
      <vt:variant>
        <vt:lpwstr/>
      </vt:variant>
      <vt:variant>
        <vt:i4>3145781</vt:i4>
      </vt:variant>
      <vt:variant>
        <vt:i4>0</vt:i4>
      </vt:variant>
      <vt:variant>
        <vt:i4>0</vt:i4>
      </vt:variant>
      <vt:variant>
        <vt:i4>5</vt:i4>
      </vt:variant>
      <vt:variant>
        <vt:lpwstr>https://tiatexas.org/local-designation-system/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147</cp:revision>
  <dcterms:created xsi:type="dcterms:W3CDTF">2022-01-24T20:23:00Z</dcterms:created>
  <dcterms:modified xsi:type="dcterms:W3CDTF">2022-06-10T21:20:00Z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