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08BE7" w14:textId="7976F7A2" w:rsidR="00685C22" w:rsidRDefault="00894D61" w:rsidP="00C72F46">
      <w:pPr>
        <w:pStyle w:val="Title"/>
        <w:spacing w:before="1080"/>
      </w:pPr>
      <w:r>
        <w:t>A</w:t>
      </w:r>
      <w:r w:rsidR="00F21C9C">
        <w:t>APPL Vendor FAQ</w:t>
      </w:r>
    </w:p>
    <w:p w14:paraId="676491E3" w14:textId="6698DB2E" w:rsidR="00F15595" w:rsidRPr="00183A64" w:rsidRDefault="00F15595" w:rsidP="005E3E83">
      <w:pPr>
        <w:spacing w:after="0" w:line="240" w:lineRule="auto"/>
        <w:rPr>
          <w:rFonts w:eastAsiaTheme="minorEastAsia" w:cstheme="minorHAnsi"/>
          <w:b/>
          <w:bCs/>
          <w:color w:val="000000" w:themeColor="text1"/>
          <w:lang w:val="en"/>
        </w:rPr>
      </w:pPr>
      <w:r w:rsidRPr="00183A64">
        <w:rPr>
          <w:rFonts w:eastAsiaTheme="minorEastAsia" w:cstheme="minorHAnsi"/>
          <w:b/>
          <w:bCs/>
          <w:color w:val="000000" w:themeColor="text1"/>
        </w:rPr>
        <w:t xml:space="preserve">Vendor Name: </w:t>
      </w:r>
      <w:r w:rsidR="00A57D5E" w:rsidRPr="00183A64">
        <w:rPr>
          <w:rFonts w:eastAsiaTheme="minorEastAsia" w:cstheme="minorHAnsi"/>
          <w:b/>
          <w:bCs/>
          <w:color w:val="000000" w:themeColor="text1"/>
        </w:rPr>
        <w:t>A</w:t>
      </w:r>
      <w:r w:rsidR="00A57D5E">
        <w:rPr>
          <w:rFonts w:eastAsiaTheme="minorEastAsia" w:cstheme="minorHAnsi"/>
          <w:b/>
          <w:bCs/>
          <w:color w:val="000000" w:themeColor="text1"/>
        </w:rPr>
        <w:t xml:space="preserve">merican </w:t>
      </w:r>
      <w:r w:rsidR="00A57D5E" w:rsidRPr="00183A64">
        <w:rPr>
          <w:rFonts w:eastAsiaTheme="minorEastAsia" w:cstheme="minorHAnsi"/>
          <w:b/>
          <w:bCs/>
          <w:color w:val="000000" w:themeColor="text1"/>
        </w:rPr>
        <w:t>C</w:t>
      </w:r>
      <w:r w:rsidR="00A57D5E">
        <w:rPr>
          <w:rFonts w:eastAsiaTheme="minorEastAsia" w:cstheme="minorHAnsi"/>
          <w:b/>
          <w:bCs/>
          <w:color w:val="000000" w:themeColor="text1"/>
        </w:rPr>
        <w:t xml:space="preserve">ouncil </w:t>
      </w:r>
      <w:r w:rsidR="00A57D5E" w:rsidRPr="00C44C8E">
        <w:rPr>
          <w:rFonts w:eastAsiaTheme="minorEastAsia" w:cstheme="minorHAnsi"/>
          <w:b/>
          <w:bCs/>
          <w:color w:val="000000" w:themeColor="text1"/>
          <w:sz w:val="20"/>
          <w:szCs w:val="20"/>
        </w:rPr>
        <w:t>on the</w:t>
      </w:r>
      <w:r w:rsidR="00A57D5E">
        <w:rPr>
          <w:rFonts w:eastAsiaTheme="minorEastAsia" w:cstheme="minorHAnsi"/>
          <w:b/>
          <w:bCs/>
          <w:color w:val="000000" w:themeColor="text1"/>
        </w:rPr>
        <w:t xml:space="preserve"> </w:t>
      </w:r>
      <w:r w:rsidR="00A57D5E" w:rsidRPr="00183A64">
        <w:rPr>
          <w:rFonts w:eastAsiaTheme="minorEastAsia" w:cstheme="minorHAnsi"/>
          <w:b/>
          <w:bCs/>
          <w:color w:val="000000" w:themeColor="text1"/>
        </w:rPr>
        <w:t>T</w:t>
      </w:r>
      <w:r w:rsidR="00A57D5E">
        <w:rPr>
          <w:rFonts w:eastAsiaTheme="minorEastAsia" w:cstheme="minorHAnsi"/>
          <w:b/>
          <w:bCs/>
          <w:color w:val="000000" w:themeColor="text1"/>
        </w:rPr>
        <w:t xml:space="preserve">eaching of </w:t>
      </w:r>
      <w:r w:rsidR="00A57D5E" w:rsidRPr="00183A64">
        <w:rPr>
          <w:rFonts w:eastAsiaTheme="minorEastAsia" w:cstheme="minorHAnsi"/>
          <w:b/>
          <w:bCs/>
          <w:color w:val="000000" w:themeColor="text1"/>
        </w:rPr>
        <w:t>F</w:t>
      </w:r>
      <w:r w:rsidR="00A57D5E">
        <w:rPr>
          <w:rFonts w:eastAsiaTheme="minorEastAsia" w:cstheme="minorHAnsi"/>
          <w:b/>
          <w:bCs/>
          <w:color w:val="000000" w:themeColor="text1"/>
        </w:rPr>
        <w:t>oreign Languages (</w:t>
      </w:r>
      <w:r w:rsidR="0065610F">
        <w:rPr>
          <w:rFonts w:eastAsiaTheme="minorEastAsia" w:cstheme="minorHAnsi"/>
          <w:b/>
          <w:bCs/>
          <w:color w:val="000000" w:themeColor="text1"/>
        </w:rPr>
        <w:t>ACTF</w:t>
      </w:r>
      <w:r w:rsidR="007F1121">
        <w:rPr>
          <w:rFonts w:eastAsiaTheme="minorEastAsia" w:cstheme="minorHAnsi"/>
          <w:b/>
          <w:bCs/>
          <w:color w:val="000000" w:themeColor="text1"/>
        </w:rPr>
        <w:t>L</w:t>
      </w:r>
      <w:r w:rsidR="00A57D5E">
        <w:rPr>
          <w:rFonts w:eastAsiaTheme="minorEastAsia" w:cstheme="minorHAnsi"/>
          <w:b/>
          <w:bCs/>
          <w:color w:val="000000" w:themeColor="text1"/>
        </w:rPr>
        <w:t>)</w:t>
      </w:r>
      <w:r w:rsidR="0065610F">
        <w:rPr>
          <w:rFonts w:eastAsiaTheme="minorEastAsia" w:cstheme="minorHAnsi"/>
          <w:b/>
          <w:bCs/>
          <w:color w:val="000000" w:themeColor="text1"/>
        </w:rPr>
        <w:t xml:space="preserve"> </w:t>
      </w:r>
    </w:p>
    <w:p w14:paraId="50CF4139" w14:textId="2FCBE1B1" w:rsidR="00D958AD" w:rsidRPr="00997C78" w:rsidRDefault="00F15595" w:rsidP="002372DD">
      <w:pPr>
        <w:spacing w:after="120" w:line="276" w:lineRule="auto"/>
        <w:rPr>
          <w:rFonts w:eastAsiaTheme="minorEastAsia" w:cstheme="minorHAnsi"/>
          <w:b/>
          <w:bCs/>
          <w:color w:val="000000" w:themeColor="text1"/>
        </w:rPr>
      </w:pPr>
      <w:r w:rsidRPr="00183A64">
        <w:rPr>
          <w:rFonts w:eastAsiaTheme="minorEastAsia" w:cstheme="minorHAnsi"/>
          <w:b/>
          <w:bCs/>
          <w:color w:val="000000" w:themeColor="text1"/>
        </w:rPr>
        <w:t xml:space="preserve">Assessment(s) Name: </w:t>
      </w:r>
      <w:r w:rsidR="00A57D5E" w:rsidRPr="00183A64">
        <w:rPr>
          <w:rFonts w:eastAsiaTheme="minorEastAsia" w:cstheme="minorHAnsi"/>
          <w:b/>
          <w:bCs/>
          <w:color w:val="000000" w:themeColor="text1"/>
        </w:rPr>
        <w:t xml:space="preserve">Assessment of Performance toward Proficiency in Languages </w:t>
      </w:r>
      <w:r w:rsidR="00A57D5E">
        <w:rPr>
          <w:rFonts w:eastAsiaTheme="minorEastAsia" w:cstheme="minorHAnsi"/>
          <w:b/>
          <w:bCs/>
          <w:color w:val="000000" w:themeColor="text1"/>
        </w:rPr>
        <w:t>(</w:t>
      </w:r>
      <w:r w:rsidRPr="00183A64">
        <w:rPr>
          <w:rFonts w:eastAsiaTheme="minorEastAsia" w:cstheme="minorHAnsi"/>
          <w:b/>
          <w:bCs/>
          <w:color w:val="000000" w:themeColor="text1"/>
        </w:rPr>
        <w:t>AAPPL</w:t>
      </w:r>
      <w:r w:rsidR="00A57D5E">
        <w:rPr>
          <w:rFonts w:eastAsiaTheme="minorEastAsia" w:cstheme="minorHAnsi"/>
          <w:b/>
          <w:bCs/>
          <w:color w:val="000000" w:themeColor="text1"/>
        </w:rPr>
        <w:t>)</w:t>
      </w:r>
    </w:p>
    <w:tbl>
      <w:tblPr>
        <w:tblStyle w:val="ListTable3-Accent1"/>
        <w:tblW w:w="0" w:type="auto"/>
        <w:tblCellMar>
          <w:top w:w="115" w:type="dxa"/>
          <w:bottom w:w="115" w:type="dxa"/>
        </w:tblCellMar>
        <w:tblLook w:val="04A0" w:firstRow="1" w:lastRow="0" w:firstColumn="1" w:lastColumn="0" w:noHBand="0" w:noVBand="1"/>
      </w:tblPr>
      <w:tblGrid>
        <w:gridCol w:w="2227"/>
        <w:gridCol w:w="8563"/>
      </w:tblGrid>
      <w:tr w:rsidR="007601B7" w:rsidRPr="008953F8" w14:paraId="41D2F25D" w14:textId="77777777" w:rsidTr="00B32132">
        <w:trPr>
          <w:cnfStyle w:val="100000000000" w:firstRow="1" w:lastRow="0" w:firstColumn="0" w:lastColumn="0" w:oddVBand="0" w:evenVBand="0" w:oddHBand="0" w:evenHBand="0" w:firstRowFirstColumn="0" w:firstRowLastColumn="0" w:lastRowFirstColumn="0" w:lastRowLastColumn="0"/>
          <w:trHeight w:val="485"/>
        </w:trPr>
        <w:tc>
          <w:tcPr>
            <w:cnfStyle w:val="001000000100" w:firstRow="0" w:lastRow="0" w:firstColumn="1" w:lastColumn="0" w:oddVBand="0" w:evenVBand="0" w:oddHBand="0" w:evenHBand="0" w:firstRowFirstColumn="1" w:firstRowLastColumn="0" w:lastRowFirstColumn="0" w:lastRowLastColumn="0"/>
            <w:tcW w:w="0" w:type="auto"/>
            <w:tcBorders>
              <w:bottom w:val="single" w:sz="4" w:space="0" w:color="00A69B" w:themeColor="accent1"/>
            </w:tcBorders>
          </w:tcPr>
          <w:p w14:paraId="2C9C692F" w14:textId="2210A6CF" w:rsidR="00AF567A" w:rsidRPr="00A60075" w:rsidRDefault="00897C68" w:rsidP="00A13E6C">
            <w:pPr>
              <w:spacing w:line="276" w:lineRule="auto"/>
              <w:rPr>
                <w:rFonts w:cstheme="minorHAnsi"/>
                <w:bCs w:val="0"/>
                <w:sz w:val="28"/>
                <w:szCs w:val="28"/>
              </w:rPr>
            </w:pPr>
            <w:r w:rsidRPr="00A60075">
              <w:rPr>
                <w:rFonts w:cstheme="minorHAnsi"/>
                <w:bCs w:val="0"/>
                <w:sz w:val="28"/>
                <w:szCs w:val="28"/>
              </w:rPr>
              <w:t>Question</w:t>
            </w:r>
          </w:p>
        </w:tc>
        <w:tc>
          <w:tcPr>
            <w:tcW w:w="0" w:type="auto"/>
            <w:tcBorders>
              <w:bottom w:val="single" w:sz="4" w:space="0" w:color="00A69B" w:themeColor="accent1"/>
            </w:tcBorders>
          </w:tcPr>
          <w:p w14:paraId="7DE47E6C" w14:textId="1A001255" w:rsidR="00AF567A" w:rsidRPr="00A60075" w:rsidRDefault="00897C68" w:rsidP="00A13E6C">
            <w:pPr>
              <w:spacing w:after="0" w:line="276" w:lineRule="auto"/>
              <w:cnfStyle w:val="100000000000" w:firstRow="1" w:lastRow="0" w:firstColumn="0" w:lastColumn="0" w:oddVBand="0" w:evenVBand="0" w:oddHBand="0" w:evenHBand="0" w:firstRowFirstColumn="0" w:firstRowLastColumn="0" w:lastRowFirstColumn="0" w:lastRowLastColumn="0"/>
              <w:rPr>
                <w:rFonts w:eastAsiaTheme="minorEastAsia" w:cstheme="minorHAnsi"/>
                <w:b w:val="0"/>
                <w:sz w:val="28"/>
                <w:szCs w:val="28"/>
              </w:rPr>
            </w:pPr>
            <w:r w:rsidRPr="00A60075">
              <w:rPr>
                <w:rFonts w:eastAsiaTheme="minorEastAsia" w:cstheme="minorHAnsi"/>
                <w:sz w:val="28"/>
                <w:szCs w:val="28"/>
              </w:rPr>
              <w:t>Answer</w:t>
            </w:r>
          </w:p>
        </w:tc>
      </w:tr>
      <w:tr w:rsidR="003C3A26" w:rsidRPr="008953F8" w14:paraId="548B938D" w14:textId="77777777" w:rsidTr="00B3213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00A69B" w:themeColor="accent1"/>
            </w:tcBorders>
            <w:tcMar>
              <w:top w:w="43" w:type="dxa"/>
              <w:left w:w="115" w:type="dxa"/>
              <w:right w:w="115" w:type="dxa"/>
            </w:tcMar>
          </w:tcPr>
          <w:p w14:paraId="42ACD75F" w14:textId="7656BBB8" w:rsidR="003C3A26" w:rsidRDefault="003C3A26" w:rsidP="003C3A26">
            <w:pPr>
              <w:spacing w:before="120" w:after="120"/>
              <w:rPr>
                <w:rFonts w:cstheme="minorHAnsi"/>
              </w:rPr>
            </w:pPr>
            <w:r>
              <w:rPr>
                <w:rFonts w:cstheme="minorHAnsi"/>
                <w:bCs w:val="0"/>
              </w:rPr>
              <w:t>What Grades are Covered?</w:t>
            </w:r>
          </w:p>
        </w:tc>
        <w:tc>
          <w:tcPr>
            <w:tcW w:w="0" w:type="auto"/>
            <w:tcBorders>
              <w:left w:val="single" w:sz="4" w:space="0" w:color="00A69B" w:themeColor="accent1"/>
            </w:tcBorders>
            <w:tcMar>
              <w:top w:w="43" w:type="dxa"/>
              <w:left w:w="115" w:type="dxa"/>
              <w:right w:w="115" w:type="dxa"/>
            </w:tcMar>
          </w:tcPr>
          <w:p w14:paraId="7BCF2356" w14:textId="786C8497" w:rsidR="003C3A26" w:rsidRDefault="003C3A26" w:rsidP="003C3A26">
            <w:pPr>
              <w:spacing w:before="120" w:after="120"/>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183A64">
              <w:rPr>
                <w:rFonts w:eastAsiaTheme="minorEastAsia" w:cstheme="minorHAnsi"/>
                <w:b/>
                <w:bCs/>
                <w:color w:val="000000" w:themeColor="text1"/>
              </w:rPr>
              <w:t>1</w:t>
            </w:r>
            <w:r w:rsidRPr="00B0595A">
              <w:rPr>
                <w:rFonts w:eastAsiaTheme="minorEastAsia" w:cstheme="minorHAnsi"/>
                <w:b/>
                <w:bCs/>
                <w:color w:val="000000" w:themeColor="text1"/>
                <w:vertAlign w:val="superscript"/>
              </w:rPr>
              <w:t>st</w:t>
            </w:r>
            <w:r w:rsidRPr="00183A64">
              <w:rPr>
                <w:rFonts w:eastAsiaTheme="minorEastAsia" w:cstheme="minorHAnsi"/>
                <w:b/>
                <w:bCs/>
                <w:color w:val="000000" w:themeColor="text1"/>
              </w:rPr>
              <w:t>-12</w:t>
            </w:r>
            <w:r w:rsidRPr="00183A64">
              <w:rPr>
                <w:rFonts w:eastAsiaTheme="minorEastAsia" w:cstheme="minorHAnsi"/>
                <w:b/>
                <w:bCs/>
                <w:color w:val="000000" w:themeColor="text1"/>
                <w:vertAlign w:val="superscript"/>
              </w:rPr>
              <w:t>th</w:t>
            </w:r>
            <w:r w:rsidRPr="00183A64">
              <w:rPr>
                <w:rFonts w:eastAsiaTheme="minorEastAsia" w:cstheme="minorHAnsi"/>
                <w:b/>
                <w:bCs/>
                <w:color w:val="000000" w:themeColor="text1"/>
              </w:rPr>
              <w:t xml:space="preserve"> Languages Other Than English (LOTE) </w:t>
            </w:r>
            <w:r w:rsidRPr="00183A64">
              <w:rPr>
                <w:rFonts w:eastAsiaTheme="minorEastAsia" w:cstheme="minorHAnsi"/>
                <w:color w:val="000000" w:themeColor="text1"/>
              </w:rPr>
              <w:t>(Arabic, Mandarin Chinese, English, French, German, Italian, Japanese, Korean, Spanish)</w:t>
            </w:r>
          </w:p>
        </w:tc>
      </w:tr>
      <w:tr w:rsidR="003C3A26" w:rsidRPr="008953F8" w14:paraId="16B7D9F2" w14:textId="77777777" w:rsidTr="00B32132">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A69B" w:themeColor="accent1"/>
              <w:left w:val="single" w:sz="4" w:space="0" w:color="00A69B" w:themeColor="accent1"/>
              <w:bottom w:val="single" w:sz="4" w:space="0" w:color="00A69B" w:themeColor="accent1"/>
              <w:right w:val="single" w:sz="4" w:space="0" w:color="00A69B" w:themeColor="accent1"/>
            </w:tcBorders>
            <w:tcMar>
              <w:top w:w="43" w:type="dxa"/>
              <w:left w:w="115" w:type="dxa"/>
              <w:right w:w="115" w:type="dxa"/>
            </w:tcMar>
          </w:tcPr>
          <w:p w14:paraId="29A69112" w14:textId="2E70AF36" w:rsidR="003C3A26" w:rsidRPr="00897C68" w:rsidRDefault="003C3A26" w:rsidP="003C3A26">
            <w:pPr>
              <w:spacing w:before="120" w:after="120"/>
              <w:rPr>
                <w:rFonts w:cstheme="minorHAnsi"/>
                <w:bCs w:val="0"/>
              </w:rPr>
            </w:pPr>
            <w:r>
              <w:rPr>
                <w:rFonts w:cstheme="minorHAnsi"/>
                <w:bCs w:val="0"/>
              </w:rPr>
              <w:t>Is there a Pre/Post Test?</w:t>
            </w:r>
          </w:p>
        </w:tc>
        <w:tc>
          <w:tcPr>
            <w:tcW w:w="0" w:type="auto"/>
            <w:tcBorders>
              <w:top w:val="single" w:sz="4" w:space="0" w:color="00A69B" w:themeColor="accent1"/>
              <w:left w:val="single" w:sz="4" w:space="0" w:color="00A69B" w:themeColor="accent1"/>
              <w:bottom w:val="single" w:sz="4" w:space="0" w:color="00A69B" w:themeColor="accent1"/>
              <w:right w:val="single" w:sz="4" w:space="0" w:color="00A69B" w:themeColor="accent1"/>
            </w:tcBorders>
            <w:tcMar>
              <w:top w:w="43" w:type="dxa"/>
              <w:left w:w="115" w:type="dxa"/>
              <w:right w:w="115" w:type="dxa"/>
            </w:tcMar>
          </w:tcPr>
          <w:p w14:paraId="76182106" w14:textId="33FE7FD0" w:rsidR="003C3A26" w:rsidRPr="004A5FBF" w:rsidRDefault="003C3A26" w:rsidP="003C3A26">
            <w:pPr>
              <w:spacing w:before="120" w:after="120"/>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Pr>
                <w:rFonts w:eastAsiaTheme="minorEastAsia" w:cstheme="minorHAnsi"/>
              </w:rPr>
              <w:t>Yes, for the Purposes of TIA, districts could use Pre/Post-Test options 2 and 4.</w:t>
            </w:r>
          </w:p>
        </w:tc>
      </w:tr>
      <w:tr w:rsidR="003C3A26" w:rsidRPr="008953F8" w14:paraId="4FAF8241" w14:textId="77777777" w:rsidTr="00B3213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00A69B" w:themeColor="accent1"/>
              <w:right w:val="single" w:sz="4" w:space="0" w:color="00A69B" w:themeColor="accent1"/>
            </w:tcBorders>
          </w:tcPr>
          <w:p w14:paraId="54A8C0D0" w14:textId="279AFB48" w:rsidR="003C3A26" w:rsidRPr="00183A64" w:rsidRDefault="003C3A26" w:rsidP="003C3A26">
            <w:pPr>
              <w:spacing w:line="276" w:lineRule="auto"/>
              <w:rPr>
                <w:rFonts w:cstheme="minorHAnsi"/>
                <w:b w:val="0"/>
              </w:rPr>
            </w:pPr>
            <w:r w:rsidRPr="00183A64">
              <w:rPr>
                <w:rFonts w:cstheme="minorHAnsi"/>
              </w:rPr>
              <w:t>What is the AAPPL?</w:t>
            </w:r>
          </w:p>
        </w:tc>
        <w:tc>
          <w:tcPr>
            <w:tcW w:w="0" w:type="auto"/>
            <w:tcBorders>
              <w:left w:val="single" w:sz="4" w:space="0" w:color="00A69B" w:themeColor="accent1"/>
              <w:right w:val="single" w:sz="4" w:space="0" w:color="00A69B" w:themeColor="accent1"/>
            </w:tcBorders>
          </w:tcPr>
          <w:p w14:paraId="7FA6B026" w14:textId="0E2C811E" w:rsidR="003C3A26" w:rsidRPr="00183A64" w:rsidRDefault="003C3A26" w:rsidP="003C3A26">
            <w:pPr>
              <w:pStyle w:val="TableParagraph"/>
              <w:ind w:left="0" w:right="8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3A64">
              <w:rPr>
                <w:rFonts w:asciiTheme="minorHAnsi" w:hAnsiTheme="minorHAnsi" w:cstheme="minorHAnsi"/>
              </w:rPr>
              <w:t>The AAPPL is a web-based proficiency and performance assessment of K-12 standards-based language learning developed by ACTFL and administered by Language Testing International (LTI). The AAPPL assesses tasks across the three modes of communication as defined by the World-Readiness Standards (Communication) for Learning Languages:</w:t>
            </w:r>
          </w:p>
          <w:p w14:paraId="38C0AE72" w14:textId="77777777" w:rsidR="003C3A26" w:rsidRPr="00183A64" w:rsidRDefault="003C3A26" w:rsidP="003C3A26">
            <w:pPr>
              <w:pStyle w:val="TableParagraph"/>
              <w:spacing w:line="276" w:lineRule="auto"/>
              <w:ind w:right="8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3A64">
              <w:rPr>
                <w:rFonts w:asciiTheme="minorHAnsi" w:hAnsiTheme="minorHAnsi" w:cstheme="minorHAnsi"/>
              </w:rPr>
              <w:t>●</w:t>
            </w:r>
            <w:r w:rsidRPr="00183A64">
              <w:rPr>
                <w:rFonts w:asciiTheme="minorHAnsi" w:hAnsiTheme="minorHAnsi" w:cstheme="minorHAnsi"/>
              </w:rPr>
              <w:tab/>
              <w:t>Interpretive Reading (IR) and Interpretive Listening (IL),</w:t>
            </w:r>
          </w:p>
          <w:p w14:paraId="52F12301" w14:textId="77777777" w:rsidR="003C3A26" w:rsidRPr="00183A64" w:rsidRDefault="003C3A26" w:rsidP="003C3A26">
            <w:pPr>
              <w:pStyle w:val="TableParagraph"/>
              <w:spacing w:line="276" w:lineRule="auto"/>
              <w:ind w:right="8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3A64">
              <w:rPr>
                <w:rFonts w:asciiTheme="minorHAnsi" w:hAnsiTheme="minorHAnsi" w:cstheme="minorHAnsi"/>
              </w:rPr>
              <w:t>●</w:t>
            </w:r>
            <w:r w:rsidRPr="00183A64">
              <w:rPr>
                <w:rFonts w:asciiTheme="minorHAnsi" w:hAnsiTheme="minorHAnsi" w:cstheme="minorHAnsi"/>
              </w:rPr>
              <w:tab/>
              <w:t>Presentational Writing (PW), and</w:t>
            </w:r>
          </w:p>
          <w:p w14:paraId="07D8C42B" w14:textId="77777777" w:rsidR="003C3A26" w:rsidRDefault="003C3A26" w:rsidP="003C3A26">
            <w:pPr>
              <w:pStyle w:val="TableParagraph"/>
              <w:spacing w:line="276" w:lineRule="auto"/>
              <w:ind w:right="8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3A64">
              <w:rPr>
                <w:rFonts w:asciiTheme="minorHAnsi" w:hAnsiTheme="minorHAnsi" w:cstheme="minorHAnsi"/>
              </w:rPr>
              <w:t>●</w:t>
            </w:r>
            <w:r w:rsidRPr="00183A64">
              <w:rPr>
                <w:rFonts w:asciiTheme="minorHAnsi" w:hAnsiTheme="minorHAnsi" w:cstheme="minorHAnsi"/>
              </w:rPr>
              <w:tab/>
              <w:t>Interpersonal Listening &amp; Speaking (ILS).</w:t>
            </w:r>
          </w:p>
          <w:p w14:paraId="76DED221" w14:textId="77777777" w:rsidR="003C3A26" w:rsidRPr="00183A64" w:rsidRDefault="003C3A26" w:rsidP="00255B99">
            <w:pPr>
              <w:pStyle w:val="Heading6"/>
              <w:outlineLvl w:val="5"/>
              <w:cnfStyle w:val="000000100000" w:firstRow="0" w:lastRow="0" w:firstColumn="0" w:lastColumn="0" w:oddVBand="0" w:evenVBand="0" w:oddHBand="1" w:evenHBand="0" w:firstRowFirstColumn="0" w:firstRowLastColumn="0" w:lastRowFirstColumn="0" w:lastRowLastColumn="0"/>
            </w:pPr>
          </w:p>
          <w:p w14:paraId="21EA6131" w14:textId="5B578F98" w:rsidR="003C3A26" w:rsidRPr="00183A64" w:rsidRDefault="003C3A26" w:rsidP="003C3A26">
            <w:pPr>
              <w:pStyle w:val="TableParagraph"/>
              <w:ind w:left="0" w:right="8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3A64">
              <w:rPr>
                <w:rFonts w:asciiTheme="minorHAnsi" w:hAnsiTheme="minorHAnsi" w:cstheme="minorHAnsi"/>
              </w:rPr>
              <w:t xml:space="preserve">AAPPL tasks are informed by the functions described in the ACTFL Proficiency Guidelines and ratings are assigned according to the ACTFL Performance Descriptors for Language Learners. Test items are developed under ACTFL’s direction by language instructors and reviewed by a quality assurance team of experts in each language. </w:t>
            </w:r>
          </w:p>
          <w:p w14:paraId="68F9BC09" w14:textId="2CA1B7EF" w:rsidR="003C3A26" w:rsidRPr="00183A64" w:rsidRDefault="003C3A26" w:rsidP="003C3A26">
            <w:pPr>
              <w:pStyle w:val="TableParagraph"/>
              <w:ind w:left="0" w:right="8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3A64">
              <w:rPr>
                <w:rFonts w:asciiTheme="minorHAnsi" w:hAnsiTheme="minorHAnsi" w:cstheme="minorHAnsi"/>
              </w:rPr>
              <w:t>Upon completion and rating of the AAPPL, students and educators receive score reports for each student which identify a proficiency range along with pinpointing a narrower performance score. The Score Reports also include a Score Description and provide strategies for advancing proficiency.</w:t>
            </w:r>
          </w:p>
        </w:tc>
      </w:tr>
      <w:tr w:rsidR="003C3A26" w:rsidRPr="008953F8" w14:paraId="7B3CFA38" w14:textId="77777777" w:rsidTr="00B32132">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A69B" w:themeColor="accent1"/>
              <w:left w:val="single" w:sz="4" w:space="0" w:color="00A69B" w:themeColor="accent1"/>
              <w:bottom w:val="single" w:sz="4" w:space="0" w:color="00A69B" w:themeColor="accent1"/>
              <w:right w:val="single" w:sz="4" w:space="0" w:color="00A69B" w:themeColor="accent1"/>
            </w:tcBorders>
          </w:tcPr>
          <w:p w14:paraId="77093394" w14:textId="2CB14208" w:rsidR="003C3A26" w:rsidRPr="00183A64" w:rsidRDefault="003C3A26" w:rsidP="003C3A26">
            <w:pPr>
              <w:spacing w:line="276" w:lineRule="auto"/>
              <w:rPr>
                <w:rFonts w:cstheme="minorHAnsi"/>
                <w:b w:val="0"/>
              </w:rPr>
            </w:pPr>
            <w:r w:rsidRPr="00183A64">
              <w:rPr>
                <w:rFonts w:cstheme="minorHAnsi"/>
              </w:rPr>
              <w:t>What was the AAPPL designed to do?</w:t>
            </w:r>
            <w:r w:rsidRPr="00183A64">
              <w:rPr>
                <w:rFonts w:eastAsiaTheme="minorEastAsia" w:cstheme="minorHAnsi"/>
                <w:lang w:val="en"/>
              </w:rPr>
              <w:t xml:space="preserve"> </w:t>
            </w:r>
          </w:p>
        </w:tc>
        <w:tc>
          <w:tcPr>
            <w:tcW w:w="0" w:type="auto"/>
            <w:tcBorders>
              <w:top w:val="single" w:sz="4" w:space="0" w:color="00A69B" w:themeColor="accent1"/>
              <w:left w:val="single" w:sz="4" w:space="0" w:color="00A69B" w:themeColor="accent1"/>
              <w:bottom w:val="single" w:sz="4" w:space="0" w:color="00A69B" w:themeColor="accent1"/>
              <w:right w:val="single" w:sz="4" w:space="0" w:color="00A69B" w:themeColor="accent1"/>
            </w:tcBorders>
          </w:tcPr>
          <w:p w14:paraId="370CA5AF" w14:textId="273EEA6D" w:rsidR="003C3A26" w:rsidRPr="00183A64" w:rsidRDefault="003C3A26" w:rsidP="003C3A26">
            <w:pPr>
              <w:pStyle w:val="TableParagraph"/>
              <w:ind w:left="0" w:right="8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83A64">
              <w:rPr>
                <w:rFonts w:asciiTheme="minorHAnsi" w:hAnsiTheme="minorHAnsi" w:cstheme="minorHAnsi"/>
              </w:rPr>
              <w:t xml:space="preserve">AAPPL provides a performance rating that aligns with benchmark points along the continuum towards proficiency. Within the Novice level there are four points (represented as N-1 through N-4), within the Intermediate ranges there are five points (I-1 through I-5), and there is one point within the Advanced range (A-1). The score reports provide an explanation of each score. </w:t>
            </w:r>
          </w:p>
        </w:tc>
      </w:tr>
      <w:tr w:rsidR="003C3A26" w:rsidRPr="008953F8" w14:paraId="4A02F03E" w14:textId="77777777" w:rsidTr="00B32132">
        <w:trPr>
          <w:cnfStyle w:val="000000100000" w:firstRow="0" w:lastRow="0" w:firstColumn="0" w:lastColumn="0" w:oddVBand="0" w:evenVBand="0" w:oddHBand="1" w:evenHBand="0" w:firstRowFirstColumn="0" w:firstRowLastColumn="0" w:lastRowFirstColumn="0" w:lastRowLastColumn="0"/>
          <w:trHeight w:val="3977"/>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00A69B" w:themeColor="accent1"/>
              <w:right w:val="single" w:sz="4" w:space="0" w:color="00A69B" w:themeColor="accent1"/>
            </w:tcBorders>
          </w:tcPr>
          <w:p w14:paraId="0C991D47" w14:textId="31061137" w:rsidR="003C3A26" w:rsidRPr="00183A64" w:rsidRDefault="003C3A26" w:rsidP="003C3A26">
            <w:pPr>
              <w:rPr>
                <w:rFonts w:eastAsiaTheme="minorEastAsia" w:cstheme="minorHAnsi"/>
                <w:b w:val="0"/>
                <w:lang w:val="en"/>
              </w:rPr>
            </w:pPr>
            <w:r w:rsidRPr="00183A64">
              <w:rPr>
                <w:rFonts w:cstheme="minorHAnsi"/>
              </w:rPr>
              <w:lastRenderedPageBreak/>
              <w:t>How can I use ACTFL’s AAPPL?</w:t>
            </w:r>
          </w:p>
        </w:tc>
        <w:tc>
          <w:tcPr>
            <w:tcW w:w="0" w:type="auto"/>
            <w:tcBorders>
              <w:left w:val="single" w:sz="4" w:space="0" w:color="00A69B" w:themeColor="accent1"/>
              <w:right w:val="single" w:sz="4" w:space="0" w:color="00A69B" w:themeColor="accent1"/>
            </w:tcBorders>
          </w:tcPr>
          <w:p w14:paraId="6904F04D" w14:textId="04454454" w:rsidR="003C3A26" w:rsidRDefault="003C3A26" w:rsidP="003C3A26">
            <w:pPr>
              <w:pStyle w:val="TableParagraph"/>
              <w:ind w:left="0" w:right="8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3A64">
              <w:rPr>
                <w:rFonts w:asciiTheme="minorHAnsi" w:hAnsiTheme="minorHAnsi" w:cstheme="minorHAnsi"/>
              </w:rPr>
              <w:t>The AAPPL specifically measures Interpersonal Speaking and Listening, Interpretive Listening, Presentational Writing, and Interpretive Reading</w:t>
            </w:r>
            <w:r>
              <w:rPr>
                <w:rFonts w:asciiTheme="minorHAnsi" w:hAnsiTheme="minorHAnsi" w:cstheme="minorHAnsi"/>
              </w:rPr>
              <w:t xml:space="preserve"> – all</w:t>
            </w:r>
            <w:r w:rsidRPr="00183A64">
              <w:rPr>
                <w:rFonts w:asciiTheme="minorHAnsi" w:hAnsiTheme="minorHAnsi" w:cstheme="minorHAnsi"/>
              </w:rPr>
              <w:t xml:space="preserve"> the modes in ACTFL’s </w:t>
            </w:r>
            <w:r w:rsidRPr="00183A64">
              <w:rPr>
                <w:rFonts w:asciiTheme="minorHAnsi" w:hAnsiTheme="minorHAnsi" w:cstheme="minorHAnsi"/>
                <w:i/>
              </w:rPr>
              <w:t xml:space="preserve">Performance Descriptors for Language Learners. </w:t>
            </w:r>
            <w:r w:rsidRPr="00183A64">
              <w:rPr>
                <w:rFonts w:asciiTheme="minorHAnsi" w:hAnsiTheme="minorHAnsi" w:cstheme="minorHAnsi"/>
              </w:rPr>
              <w:t>The AAPPL allows teachers to measure student progress on these descriptors. The AAPPL is best used to set benchmarks for student progress based on their beginning and ending levels within a specific course of study. Because of different starting points and the challenge of gaining proficiency during limited hours of contact, it is important to target a range of proficiency and to understand that the outcomes might be different based on mode (interpersonal speaking, interpretive listening, presentational writing, and interpretive reading) rather than lockstep across modes.</w:t>
            </w:r>
          </w:p>
          <w:p w14:paraId="1DCFBD91" w14:textId="77777777" w:rsidR="003C3A26" w:rsidRPr="00183A64" w:rsidRDefault="003C3A26" w:rsidP="003C3A26">
            <w:pPr>
              <w:pStyle w:val="TableParagraph"/>
              <w:spacing w:line="276" w:lineRule="auto"/>
              <w:ind w:left="0" w:right="8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D83AD0F" w14:textId="29BD78B3" w:rsidR="003C3A26" w:rsidRPr="00183A64" w:rsidRDefault="003C3A26" w:rsidP="003C3A26">
            <w:pPr>
              <w:pStyle w:val="TableParagraph"/>
              <w:spacing w:line="276" w:lineRule="auto"/>
              <w:ind w:left="0" w:right="9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3A64">
              <w:rPr>
                <w:rFonts w:asciiTheme="minorHAnsi" w:hAnsiTheme="minorHAnsi" w:cstheme="minorHAnsi"/>
              </w:rPr>
              <w:t>AAPPL was evaluated against and confirmed to align with all assessable TEKS in 2018 for</w:t>
            </w:r>
            <w:r>
              <w:rPr>
                <w:rFonts w:asciiTheme="minorHAnsi" w:hAnsiTheme="minorHAnsi" w:cstheme="minorHAnsi"/>
              </w:rPr>
              <w:t>:</w:t>
            </w:r>
            <w:r w:rsidRPr="00183A64">
              <w:rPr>
                <w:rFonts w:asciiTheme="minorHAnsi" w:hAnsiTheme="minorHAnsi" w:cstheme="minorHAnsi"/>
              </w:rPr>
              <w:t xml:space="preserve"> </w:t>
            </w:r>
          </w:p>
          <w:p w14:paraId="3F9318A7" w14:textId="66E0CA42" w:rsidR="003C3A26" w:rsidRPr="00183A64" w:rsidRDefault="003C3A26" w:rsidP="003C3A26">
            <w:pPr>
              <w:pStyle w:val="TableParagraph"/>
              <w:numPr>
                <w:ilvl w:val="0"/>
                <w:numId w:val="10"/>
              </w:numPr>
              <w:tabs>
                <w:tab w:val="left" w:pos="827"/>
                <w:tab w:val="left" w:pos="828"/>
              </w:tabs>
              <w:spacing w:line="268"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3A64">
              <w:rPr>
                <w:rFonts w:asciiTheme="minorHAnsi" w:hAnsiTheme="minorHAnsi" w:cstheme="minorHAnsi"/>
              </w:rPr>
              <w:t>L</w:t>
            </w:r>
            <w:r>
              <w:rPr>
                <w:rFonts w:asciiTheme="minorHAnsi" w:hAnsiTheme="minorHAnsi" w:cstheme="minorHAnsi"/>
              </w:rPr>
              <w:t>OTE</w:t>
            </w:r>
            <w:r w:rsidRPr="00183A64">
              <w:rPr>
                <w:rFonts w:asciiTheme="minorHAnsi" w:hAnsiTheme="minorHAnsi" w:cstheme="minorHAnsi"/>
              </w:rPr>
              <w:t xml:space="preserve"> 114.39 Level</w:t>
            </w:r>
            <w:r w:rsidRPr="00183A64">
              <w:rPr>
                <w:rFonts w:asciiTheme="minorHAnsi" w:hAnsiTheme="minorHAnsi" w:cstheme="minorHAnsi"/>
                <w:spacing w:val="-4"/>
              </w:rPr>
              <w:t xml:space="preserve"> </w:t>
            </w:r>
            <w:r w:rsidRPr="00183A64">
              <w:rPr>
                <w:rFonts w:asciiTheme="minorHAnsi" w:hAnsiTheme="minorHAnsi" w:cstheme="minorHAnsi"/>
              </w:rPr>
              <w:t>I,</w:t>
            </w:r>
          </w:p>
          <w:p w14:paraId="0925906B" w14:textId="72E05652" w:rsidR="003C3A26" w:rsidRPr="00183A64" w:rsidRDefault="003C3A26" w:rsidP="003C3A26">
            <w:pPr>
              <w:pStyle w:val="TableParagraph"/>
              <w:numPr>
                <w:ilvl w:val="0"/>
                <w:numId w:val="10"/>
              </w:numPr>
              <w:tabs>
                <w:tab w:val="left" w:pos="827"/>
                <w:tab w:val="left" w:pos="828"/>
              </w:tabs>
              <w:spacing w:before="3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3A64">
              <w:rPr>
                <w:rFonts w:asciiTheme="minorHAnsi" w:hAnsiTheme="minorHAnsi" w:cstheme="minorHAnsi"/>
              </w:rPr>
              <w:t>L</w:t>
            </w:r>
            <w:r>
              <w:rPr>
                <w:rFonts w:asciiTheme="minorHAnsi" w:hAnsiTheme="minorHAnsi" w:cstheme="minorHAnsi"/>
              </w:rPr>
              <w:t>OTE</w:t>
            </w:r>
            <w:r w:rsidRPr="00183A64">
              <w:rPr>
                <w:rFonts w:asciiTheme="minorHAnsi" w:hAnsiTheme="minorHAnsi" w:cstheme="minorHAnsi"/>
              </w:rPr>
              <w:t xml:space="preserve"> 114.40 Level</w:t>
            </w:r>
            <w:r w:rsidRPr="00183A64">
              <w:rPr>
                <w:rFonts w:asciiTheme="minorHAnsi" w:hAnsiTheme="minorHAnsi" w:cstheme="minorHAnsi"/>
                <w:spacing w:val="-4"/>
              </w:rPr>
              <w:t xml:space="preserve"> </w:t>
            </w:r>
            <w:r w:rsidRPr="00183A64">
              <w:rPr>
                <w:rFonts w:asciiTheme="minorHAnsi" w:hAnsiTheme="minorHAnsi" w:cstheme="minorHAnsi"/>
              </w:rPr>
              <w:t>II,</w:t>
            </w:r>
          </w:p>
          <w:p w14:paraId="012212DF" w14:textId="0AAC723E" w:rsidR="003C3A26" w:rsidRPr="00183A64" w:rsidRDefault="003C3A26" w:rsidP="003C3A26">
            <w:pPr>
              <w:pStyle w:val="TableParagraph"/>
              <w:numPr>
                <w:ilvl w:val="0"/>
                <w:numId w:val="10"/>
              </w:numPr>
              <w:tabs>
                <w:tab w:val="left" w:pos="827"/>
                <w:tab w:val="left" w:pos="828"/>
              </w:tabs>
              <w:spacing w:before="4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LOTE</w:t>
            </w:r>
            <w:r w:rsidRPr="00183A64">
              <w:rPr>
                <w:rFonts w:asciiTheme="minorHAnsi" w:hAnsiTheme="minorHAnsi" w:cstheme="minorHAnsi"/>
              </w:rPr>
              <w:t xml:space="preserve"> 114.41 Level III,</w:t>
            </w:r>
            <w:r w:rsidRPr="00183A64">
              <w:rPr>
                <w:rFonts w:asciiTheme="minorHAnsi" w:hAnsiTheme="minorHAnsi" w:cstheme="minorHAnsi"/>
                <w:spacing w:val="-6"/>
              </w:rPr>
              <w:t xml:space="preserve"> </w:t>
            </w:r>
            <w:r w:rsidRPr="00183A64">
              <w:rPr>
                <w:rFonts w:asciiTheme="minorHAnsi" w:hAnsiTheme="minorHAnsi" w:cstheme="minorHAnsi"/>
              </w:rPr>
              <w:t>and</w:t>
            </w:r>
          </w:p>
          <w:p w14:paraId="133A98C1" w14:textId="51617817" w:rsidR="003C3A26" w:rsidRPr="00183A64" w:rsidRDefault="003C3A26" w:rsidP="003C3A26">
            <w:pPr>
              <w:pStyle w:val="ListParagraph"/>
              <w:numPr>
                <w:ilvl w:val="0"/>
                <w:numId w:val="10"/>
              </w:numPr>
              <w:spacing w:after="0" w:line="276"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lang w:val="en"/>
              </w:rPr>
            </w:pPr>
            <w:r>
              <w:rPr>
                <w:rFonts w:cstheme="minorHAnsi"/>
              </w:rPr>
              <w:t xml:space="preserve">LOTE </w:t>
            </w:r>
            <w:r w:rsidRPr="00183A64">
              <w:rPr>
                <w:rFonts w:cstheme="minorHAnsi"/>
              </w:rPr>
              <w:t>114.42 Level</w:t>
            </w:r>
            <w:r w:rsidRPr="00183A64">
              <w:rPr>
                <w:rFonts w:cstheme="minorHAnsi"/>
                <w:spacing w:val="-4"/>
              </w:rPr>
              <w:t xml:space="preserve"> </w:t>
            </w:r>
            <w:r w:rsidRPr="00183A64">
              <w:rPr>
                <w:rFonts w:cstheme="minorHAnsi"/>
              </w:rPr>
              <w:t>IV.</w:t>
            </w:r>
          </w:p>
        </w:tc>
      </w:tr>
      <w:tr w:rsidR="003C3A26" w:rsidRPr="008953F8" w14:paraId="6314FB54" w14:textId="77777777" w:rsidTr="00B32132">
        <w:trPr>
          <w:trHeight w:val="129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A69B" w:themeColor="accent1"/>
              <w:left w:val="single" w:sz="4" w:space="0" w:color="00A69B" w:themeColor="accent1"/>
              <w:bottom w:val="single" w:sz="4" w:space="0" w:color="00A69B" w:themeColor="accent1"/>
              <w:right w:val="single" w:sz="4" w:space="0" w:color="00A69B" w:themeColor="accent1"/>
            </w:tcBorders>
          </w:tcPr>
          <w:p w14:paraId="338E6C0F" w14:textId="36FAA5F3" w:rsidR="003C3A26" w:rsidRPr="00183A64" w:rsidRDefault="003C3A26" w:rsidP="003C3A26">
            <w:pPr>
              <w:rPr>
                <w:rFonts w:cstheme="minorHAnsi"/>
                <w:b w:val="0"/>
                <w:bCs w:val="0"/>
              </w:rPr>
            </w:pPr>
            <w:r w:rsidRPr="00183A64">
              <w:rPr>
                <w:rFonts w:cstheme="minorHAnsi"/>
              </w:rPr>
              <w:t>Does ACTFL’s AAPPL provide expected growth targets for students?</w:t>
            </w:r>
            <w:r w:rsidRPr="00183A64">
              <w:rPr>
                <w:rFonts w:eastAsiaTheme="minorEastAsia" w:cstheme="minorHAnsi"/>
              </w:rPr>
              <w:t xml:space="preserve"> </w:t>
            </w:r>
          </w:p>
        </w:tc>
        <w:tc>
          <w:tcPr>
            <w:tcW w:w="0" w:type="auto"/>
            <w:tcBorders>
              <w:top w:val="single" w:sz="4" w:space="0" w:color="00A69B" w:themeColor="accent1"/>
              <w:left w:val="single" w:sz="4" w:space="0" w:color="00A69B" w:themeColor="accent1"/>
              <w:bottom w:val="single" w:sz="4" w:space="0" w:color="00A69B" w:themeColor="accent1"/>
              <w:right w:val="single" w:sz="4" w:space="0" w:color="00A69B" w:themeColor="accent1"/>
            </w:tcBorders>
          </w:tcPr>
          <w:p w14:paraId="79D45D87" w14:textId="448B085A" w:rsidR="003C3A26" w:rsidRPr="00183A64" w:rsidRDefault="003C3A26" w:rsidP="003C3A26">
            <w:pPr>
              <w:pStyle w:val="TableParagraph"/>
              <w:ind w:left="0" w:right="8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83A64">
              <w:rPr>
                <w:rFonts w:asciiTheme="minorHAnsi" w:hAnsiTheme="minorHAnsi" w:cstheme="minorHAnsi"/>
              </w:rPr>
              <w:t xml:space="preserve">No. </w:t>
            </w:r>
            <w:r>
              <w:rPr>
                <w:rFonts w:asciiTheme="minorHAnsi" w:hAnsiTheme="minorHAnsi" w:cstheme="minorHAnsi"/>
              </w:rPr>
              <w:t>However, t</w:t>
            </w:r>
            <w:r w:rsidRPr="00183A64">
              <w:rPr>
                <w:rFonts w:asciiTheme="minorHAnsi" w:hAnsiTheme="minorHAnsi" w:cstheme="minorHAnsi"/>
              </w:rPr>
              <w:t xml:space="preserve">he AAPPL allows instructors and administrators to identify benchmarks and appropriate growth based on levels attained at the beginning and end of specific learning sequences. </w:t>
            </w:r>
            <w:r>
              <w:rPr>
                <w:rFonts w:asciiTheme="minorHAnsi" w:hAnsiTheme="minorHAnsi" w:cstheme="minorHAnsi"/>
              </w:rPr>
              <w:t xml:space="preserve">Teachers can use </w:t>
            </w:r>
            <w:r w:rsidRPr="00183A64">
              <w:rPr>
                <w:rFonts w:asciiTheme="minorHAnsi" w:hAnsiTheme="minorHAnsi" w:cstheme="minorHAnsi"/>
              </w:rPr>
              <w:t xml:space="preserve">the score reports and the specific learning strategies suggested for each mode and rating level, </w:t>
            </w:r>
            <w:r>
              <w:rPr>
                <w:rFonts w:asciiTheme="minorHAnsi" w:hAnsiTheme="minorHAnsi" w:cstheme="minorHAnsi"/>
              </w:rPr>
              <w:t xml:space="preserve">to </w:t>
            </w:r>
            <w:r w:rsidRPr="00183A64">
              <w:rPr>
                <w:rFonts w:asciiTheme="minorHAnsi" w:hAnsiTheme="minorHAnsi" w:cstheme="minorHAnsi"/>
              </w:rPr>
              <w:t>develop individual goals for students.</w:t>
            </w:r>
          </w:p>
        </w:tc>
      </w:tr>
      <w:tr w:rsidR="003C3A26" w:rsidRPr="008953F8" w14:paraId="49327598" w14:textId="77777777" w:rsidTr="00B32132">
        <w:trPr>
          <w:cnfStyle w:val="000000100000" w:firstRow="0" w:lastRow="0" w:firstColumn="0" w:lastColumn="0" w:oddVBand="0" w:evenVBand="0" w:oddHBand="1" w:evenHBand="0" w:firstRowFirstColumn="0" w:firstRowLastColumn="0" w:lastRowFirstColumn="0" w:lastRowLastColumn="0"/>
          <w:trHeight w:val="3977"/>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00A69B" w:themeColor="accent1"/>
              <w:right w:val="single" w:sz="4" w:space="0" w:color="00A69B" w:themeColor="accent1"/>
            </w:tcBorders>
          </w:tcPr>
          <w:p w14:paraId="41380D76" w14:textId="6D8CEB04" w:rsidR="003C3A26" w:rsidRPr="00183A64" w:rsidRDefault="003C3A26" w:rsidP="003C3A26">
            <w:pPr>
              <w:rPr>
                <w:rFonts w:cstheme="minorHAnsi"/>
                <w:b w:val="0"/>
              </w:rPr>
            </w:pPr>
            <w:r w:rsidRPr="00183A64">
              <w:rPr>
                <w:rFonts w:cstheme="minorHAnsi"/>
              </w:rPr>
              <w:t xml:space="preserve">How can districts use AAPPL to determine </w:t>
            </w:r>
            <w:r>
              <w:rPr>
                <w:rFonts w:cstheme="minorHAnsi"/>
              </w:rPr>
              <w:t>end-of-year</w:t>
            </w:r>
            <w:r w:rsidRPr="00183A64">
              <w:rPr>
                <w:rFonts w:cstheme="minorHAnsi"/>
              </w:rPr>
              <w:t xml:space="preserve"> student growth for purposes of TIA?</w:t>
            </w:r>
          </w:p>
        </w:tc>
        <w:tc>
          <w:tcPr>
            <w:tcW w:w="0" w:type="auto"/>
            <w:tcBorders>
              <w:left w:val="single" w:sz="4" w:space="0" w:color="00A69B" w:themeColor="accent1"/>
              <w:right w:val="single" w:sz="4" w:space="0" w:color="00A69B" w:themeColor="accent1"/>
            </w:tcBorders>
          </w:tcPr>
          <w:p w14:paraId="46FC1311" w14:textId="77777777" w:rsidR="003C3A26" w:rsidRPr="00183A64" w:rsidRDefault="003C3A26" w:rsidP="003C3A26">
            <w:pPr>
              <w:cnfStyle w:val="000000100000" w:firstRow="0" w:lastRow="0" w:firstColumn="0" w:lastColumn="0" w:oddVBand="0" w:evenVBand="0" w:oddHBand="1" w:evenHBand="0" w:firstRowFirstColumn="0" w:firstRowLastColumn="0" w:lastRowFirstColumn="0" w:lastRowLastColumn="0"/>
              <w:rPr>
                <w:rFonts w:cstheme="minorHAnsi"/>
              </w:rPr>
            </w:pPr>
            <w:r w:rsidRPr="00183A64">
              <w:rPr>
                <w:rFonts w:cstheme="minorHAnsi"/>
              </w:rPr>
              <w:t>Districts can give the AAPPL as a pre-test to get a baseline for student growth progress. Districts could define expected growth as moving up a specific number of performance bands. For instance, a district could determine that expected growth is defined as moving up two performance bands. In this case, if a student started the year at the N-1 Performance Score and then scored N-3 on the post-test, they would have moved up two bands, thereby showing growth per the district’s definition. It is up to the district to decide what constitutes expected growth.</w:t>
            </w:r>
          </w:p>
          <w:p w14:paraId="4F744D50" w14:textId="77777777" w:rsidR="003C3A26" w:rsidRPr="00183A64" w:rsidRDefault="003C3A26" w:rsidP="003C3A26">
            <w:pPr>
              <w:jc w:val="center"/>
              <w:cnfStyle w:val="000000100000" w:firstRow="0" w:lastRow="0" w:firstColumn="0" w:lastColumn="0" w:oddVBand="0" w:evenVBand="0" w:oddHBand="1" w:evenHBand="0" w:firstRowFirstColumn="0" w:firstRowLastColumn="0" w:lastRowFirstColumn="0" w:lastRowLastColumn="0"/>
              <w:rPr>
                <w:rFonts w:cstheme="minorHAnsi"/>
              </w:rPr>
            </w:pPr>
            <w:r>
              <w:rPr>
                <w:noProof/>
              </w:rPr>
              <w:drawing>
                <wp:inline distT="0" distB="0" distL="0" distR="0" wp14:anchorId="5816A093" wp14:editId="7FFBD3B7">
                  <wp:extent cx="3085106" cy="1868444"/>
                  <wp:effectExtent l="0" t="0" r="127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3121145" cy="1890270"/>
                          </a:xfrm>
                          <a:prstGeom prst="rect">
                            <a:avLst/>
                          </a:prstGeom>
                        </pic:spPr>
                      </pic:pic>
                    </a:graphicData>
                  </a:graphic>
                </wp:inline>
              </w:drawing>
            </w:r>
          </w:p>
          <w:p w14:paraId="1E695018" w14:textId="34AC28CE" w:rsidR="003C3A26" w:rsidRPr="0043302E" w:rsidRDefault="003C3A26" w:rsidP="003C3A26">
            <w:pPr>
              <w:pStyle w:val="TableParagraph"/>
              <w:ind w:left="0" w:right="8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55">
              <w:rPr>
                <w:rFonts w:cstheme="minorHAnsi"/>
                <w:highlight w:val="yellow"/>
                <w:lang w:val="en"/>
              </w:rPr>
              <w:t>For the purposes of TIA</w:t>
            </w:r>
            <w:r>
              <w:rPr>
                <w:rFonts w:cstheme="minorHAnsi"/>
                <w:highlight w:val="yellow"/>
                <w:lang w:val="en"/>
              </w:rPr>
              <w:t>,</w:t>
            </w:r>
            <w:r w:rsidRPr="008E3A55">
              <w:rPr>
                <w:rFonts w:cstheme="minorHAnsi"/>
                <w:highlight w:val="yellow"/>
                <w:lang w:val="en"/>
              </w:rPr>
              <w:t xml:space="preserve"> districts could use option 4 with a </w:t>
            </w:r>
            <w:r>
              <w:rPr>
                <w:rFonts w:cstheme="minorHAnsi"/>
                <w:highlight w:val="yellow"/>
                <w:lang w:val="en"/>
              </w:rPr>
              <w:t>district-created</w:t>
            </w:r>
            <w:r w:rsidRPr="008E3A55">
              <w:rPr>
                <w:rFonts w:cstheme="minorHAnsi"/>
                <w:highlight w:val="yellow"/>
                <w:lang w:val="en"/>
              </w:rPr>
              <w:t xml:space="preserve"> pre-test, district set growth targets, and 3</w:t>
            </w:r>
            <w:r w:rsidRPr="008E3A55">
              <w:rPr>
                <w:rFonts w:cstheme="minorHAnsi"/>
                <w:highlight w:val="yellow"/>
                <w:vertAlign w:val="superscript"/>
                <w:lang w:val="en"/>
              </w:rPr>
              <w:t>rd</w:t>
            </w:r>
            <w:r w:rsidRPr="008E3A55">
              <w:rPr>
                <w:rFonts w:cstheme="minorHAnsi"/>
                <w:highlight w:val="yellow"/>
                <w:lang w:val="en"/>
              </w:rPr>
              <w:t xml:space="preserve"> party post-test or option 2 with 3</w:t>
            </w:r>
            <w:r w:rsidRPr="008E3A55">
              <w:rPr>
                <w:rFonts w:cstheme="minorHAnsi"/>
                <w:highlight w:val="yellow"/>
                <w:vertAlign w:val="superscript"/>
                <w:lang w:val="en"/>
              </w:rPr>
              <w:t>rd</w:t>
            </w:r>
            <w:r w:rsidRPr="008E3A55">
              <w:rPr>
                <w:rFonts w:cstheme="minorHAnsi"/>
                <w:highlight w:val="yellow"/>
                <w:lang w:val="en"/>
              </w:rPr>
              <w:t xml:space="preserve"> party pre-test with district set growth targets and a 3</w:t>
            </w:r>
            <w:r w:rsidRPr="008E3A55">
              <w:rPr>
                <w:rFonts w:cstheme="minorHAnsi"/>
                <w:highlight w:val="yellow"/>
                <w:vertAlign w:val="superscript"/>
                <w:lang w:val="en"/>
              </w:rPr>
              <w:t>rd</w:t>
            </w:r>
            <w:r w:rsidRPr="008E3A55">
              <w:rPr>
                <w:rFonts w:cstheme="minorHAnsi"/>
                <w:highlight w:val="yellow"/>
                <w:lang w:val="en"/>
              </w:rPr>
              <w:t xml:space="preserve"> party post-test.</w:t>
            </w:r>
          </w:p>
        </w:tc>
      </w:tr>
      <w:tr w:rsidR="003C3A26" w:rsidRPr="008953F8" w14:paraId="2E4E7B56" w14:textId="77777777" w:rsidTr="00B32132">
        <w:trPr>
          <w:trHeight w:val="3977"/>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A69B" w:themeColor="accent1"/>
              <w:left w:val="single" w:sz="4" w:space="0" w:color="00A69B" w:themeColor="accent1"/>
              <w:bottom w:val="single" w:sz="4" w:space="0" w:color="00A69B" w:themeColor="accent1"/>
              <w:right w:val="single" w:sz="4" w:space="0" w:color="00A69B" w:themeColor="accent1"/>
            </w:tcBorders>
          </w:tcPr>
          <w:p w14:paraId="0C2BAE21" w14:textId="13DE58E8" w:rsidR="003C3A26" w:rsidRPr="00183A64" w:rsidRDefault="003C3A26" w:rsidP="003C3A26">
            <w:pPr>
              <w:rPr>
                <w:rFonts w:cstheme="minorHAnsi"/>
                <w:b w:val="0"/>
              </w:rPr>
            </w:pPr>
            <w:r w:rsidRPr="00183A64">
              <w:rPr>
                <w:rFonts w:cstheme="minorHAnsi"/>
              </w:rPr>
              <w:lastRenderedPageBreak/>
              <w:t>What types of data reporting capabilities are included with the AAPPL?</w:t>
            </w:r>
          </w:p>
        </w:tc>
        <w:tc>
          <w:tcPr>
            <w:tcW w:w="0" w:type="auto"/>
            <w:tcBorders>
              <w:top w:val="single" w:sz="4" w:space="0" w:color="00A69B" w:themeColor="accent1"/>
              <w:left w:val="single" w:sz="4" w:space="0" w:color="00A69B" w:themeColor="accent1"/>
              <w:bottom w:val="single" w:sz="4" w:space="0" w:color="00A69B" w:themeColor="accent1"/>
              <w:right w:val="single" w:sz="4" w:space="0" w:color="00A69B" w:themeColor="accent1"/>
            </w:tcBorders>
          </w:tcPr>
          <w:p w14:paraId="54056B69" w14:textId="6771AB9F" w:rsidR="003C3A26" w:rsidRDefault="003C3A26" w:rsidP="003C3A26">
            <w:pPr>
              <w:pStyle w:val="TableParagraph"/>
              <w:ind w:left="0" w:right="10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83A64">
              <w:rPr>
                <w:rFonts w:asciiTheme="minorHAnsi" w:hAnsiTheme="minorHAnsi" w:cstheme="minorHAnsi"/>
              </w:rPr>
              <w:t xml:space="preserve">Filtering options allow </w:t>
            </w:r>
            <w:r>
              <w:rPr>
                <w:rFonts w:asciiTheme="minorHAnsi" w:hAnsiTheme="minorHAnsi" w:cstheme="minorHAnsi"/>
              </w:rPr>
              <w:t>higher-level</w:t>
            </w:r>
            <w:r w:rsidRPr="00183A64">
              <w:rPr>
                <w:rFonts w:asciiTheme="minorHAnsi" w:hAnsiTheme="minorHAnsi" w:cstheme="minorHAnsi"/>
              </w:rPr>
              <w:t xml:space="preserve"> users to see all the data at once, or filtered by school, teacher, language, course level,</w:t>
            </w:r>
            <w:r w:rsidRPr="00183A64">
              <w:rPr>
                <w:rFonts w:asciiTheme="minorHAnsi" w:hAnsiTheme="minorHAnsi" w:cstheme="minorHAnsi"/>
                <w:spacing w:val="-2"/>
              </w:rPr>
              <w:t xml:space="preserve"> </w:t>
            </w:r>
            <w:r w:rsidRPr="00183A64">
              <w:rPr>
                <w:rFonts w:asciiTheme="minorHAnsi" w:hAnsiTheme="minorHAnsi" w:cstheme="minorHAnsi"/>
              </w:rPr>
              <w:t>etc.</w:t>
            </w:r>
          </w:p>
          <w:p w14:paraId="7D2471B5" w14:textId="77777777" w:rsidR="003C3A26" w:rsidRPr="00183A64" w:rsidRDefault="003C3A26" w:rsidP="003C3A26">
            <w:pPr>
              <w:pStyle w:val="TableParagraph"/>
              <w:spacing w:line="276" w:lineRule="auto"/>
              <w:ind w:left="0" w:right="9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EF67EA6" w14:textId="77777777" w:rsidR="003C3A26" w:rsidRPr="00183A64" w:rsidRDefault="003C3A26" w:rsidP="003C3A26">
            <w:pPr>
              <w:pStyle w:val="Table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83A64">
              <w:rPr>
                <w:rFonts w:asciiTheme="minorHAnsi" w:hAnsiTheme="minorHAnsi" w:cstheme="minorHAnsi"/>
              </w:rPr>
              <w:t>AAPPL reports available in the LTI Client Site include the following</w:t>
            </w:r>
            <w:r>
              <w:rPr>
                <w:rFonts w:asciiTheme="minorHAnsi" w:hAnsiTheme="minorHAnsi" w:cstheme="minorHAnsi"/>
              </w:rPr>
              <w:t>:</w:t>
            </w:r>
          </w:p>
          <w:p w14:paraId="0165888A" w14:textId="77777777" w:rsidR="003C3A26" w:rsidRPr="00183A64" w:rsidRDefault="003C3A26" w:rsidP="003C3A26">
            <w:pPr>
              <w:pStyle w:val="TableParagraph"/>
              <w:numPr>
                <w:ilvl w:val="0"/>
                <w:numId w:val="7"/>
              </w:numPr>
              <w:tabs>
                <w:tab w:val="left" w:pos="828"/>
              </w:tabs>
              <w:spacing w:line="276" w:lineRule="auto"/>
              <w:ind w:right="39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83A64">
              <w:rPr>
                <w:rFonts w:asciiTheme="minorHAnsi" w:hAnsiTheme="minorHAnsi" w:cstheme="minorHAnsi"/>
              </w:rPr>
              <w:t>Longitudinal reports show students’ progress across testing events and would likely be the primary tool used for the TIA program.</w:t>
            </w:r>
          </w:p>
          <w:p w14:paraId="2F33CEB4" w14:textId="77777777" w:rsidR="003C3A26" w:rsidRPr="0004228C" w:rsidRDefault="003C3A26" w:rsidP="003C3A26">
            <w:pPr>
              <w:pStyle w:val="TableParagraph"/>
              <w:numPr>
                <w:ilvl w:val="0"/>
                <w:numId w:val="7"/>
              </w:numPr>
              <w:tabs>
                <w:tab w:val="left" w:pos="827"/>
                <w:tab w:val="left" w:pos="828"/>
              </w:tabs>
              <w:spacing w:line="276" w:lineRule="auto"/>
              <w:ind w:right="67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83A64">
              <w:rPr>
                <w:rFonts w:asciiTheme="minorHAnsi" w:hAnsiTheme="minorHAnsi" w:cstheme="minorHAnsi"/>
              </w:rPr>
              <w:t xml:space="preserve">The National Report shows student performance (as a customizable cohort) against </w:t>
            </w:r>
            <w:r w:rsidRPr="0004228C">
              <w:rPr>
                <w:rFonts w:asciiTheme="minorHAnsi" w:hAnsiTheme="minorHAnsi" w:cstheme="minorHAnsi"/>
              </w:rPr>
              <w:t>students of a similar cohort nationally.</w:t>
            </w:r>
          </w:p>
          <w:p w14:paraId="718DAE8C" w14:textId="77777777" w:rsidR="003C3A26" w:rsidRDefault="003C3A26" w:rsidP="003C3A26">
            <w:pPr>
              <w:pStyle w:val="TableParagraph"/>
              <w:numPr>
                <w:ilvl w:val="0"/>
                <w:numId w:val="7"/>
              </w:numPr>
              <w:tabs>
                <w:tab w:val="left" w:pos="827"/>
                <w:tab w:val="left" w:pos="829"/>
              </w:tabs>
              <w:spacing w:line="268" w:lineRule="exact"/>
              <w:ind w:left="828" w:hanging="36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83A64">
              <w:rPr>
                <w:rFonts w:asciiTheme="minorHAnsi" w:hAnsiTheme="minorHAnsi" w:cstheme="minorHAnsi"/>
              </w:rPr>
              <w:t>School Report shows student outcomes within a given</w:t>
            </w:r>
            <w:r w:rsidRPr="00183A64">
              <w:rPr>
                <w:rFonts w:asciiTheme="minorHAnsi" w:hAnsiTheme="minorHAnsi" w:cstheme="minorHAnsi"/>
                <w:spacing w:val="-14"/>
              </w:rPr>
              <w:t xml:space="preserve"> </w:t>
            </w:r>
            <w:r w:rsidRPr="00183A64">
              <w:rPr>
                <w:rFonts w:asciiTheme="minorHAnsi" w:hAnsiTheme="minorHAnsi" w:cstheme="minorHAnsi"/>
              </w:rPr>
              <w:t>school.</w:t>
            </w:r>
          </w:p>
          <w:p w14:paraId="6301606D" w14:textId="77777777" w:rsidR="003C3A26" w:rsidRPr="00183A64" w:rsidRDefault="003C3A26" w:rsidP="003C3A26">
            <w:pPr>
              <w:pStyle w:val="TableParagraph"/>
              <w:tabs>
                <w:tab w:val="left" w:pos="827"/>
                <w:tab w:val="left" w:pos="829"/>
              </w:tabs>
              <w:spacing w:line="268" w:lineRule="exact"/>
              <w:ind w:left="82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2C3D852" w14:textId="636E306C" w:rsidR="003C3A26" w:rsidRPr="00183A64" w:rsidRDefault="003C3A26" w:rsidP="003C3A26">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183A64">
              <w:rPr>
                <w:rFonts w:cstheme="minorHAnsi"/>
              </w:rPr>
              <w:t>Additionally, Client Site users can export a variety of test result details to Excel.</w:t>
            </w:r>
          </w:p>
        </w:tc>
      </w:tr>
    </w:tbl>
    <w:p w14:paraId="577D4609" w14:textId="77777777" w:rsidR="00C051F9" w:rsidRDefault="00C051F9" w:rsidP="00C051F9">
      <w:pPr>
        <w:spacing w:after="0"/>
        <w:rPr>
          <w:rFonts w:cstheme="minorHAnsi"/>
          <w:sz w:val="20"/>
          <w:szCs w:val="20"/>
        </w:rPr>
      </w:pPr>
    </w:p>
    <w:p w14:paraId="68B72A1B" w14:textId="437AC250" w:rsidR="00C051F9" w:rsidRPr="00A5694B" w:rsidRDefault="00C051F9" w:rsidP="007768FB">
      <w:pPr>
        <w:spacing w:after="120" w:line="240" w:lineRule="auto"/>
        <w:rPr>
          <w:rFonts w:cstheme="minorHAnsi"/>
        </w:rPr>
      </w:pPr>
      <w:r w:rsidRPr="00A5694B">
        <w:rPr>
          <w:rFonts w:cstheme="minorHAnsi"/>
        </w:rPr>
        <w:t xml:space="preserve">For more information on this resource please refer to the vendor website and reach out to a representative. </w:t>
      </w:r>
    </w:p>
    <w:p w14:paraId="55D736B5" w14:textId="77777777" w:rsidR="00C051F9" w:rsidRPr="00A5694B" w:rsidRDefault="00C051F9" w:rsidP="007768FB">
      <w:pPr>
        <w:spacing w:after="120" w:line="240" w:lineRule="auto"/>
        <w:rPr>
          <w:rFonts w:cstheme="minorHAnsi"/>
        </w:rPr>
      </w:pPr>
      <w:r w:rsidRPr="00A5694B">
        <w:rPr>
          <w:rFonts w:cstheme="minorHAnsi"/>
        </w:rPr>
        <w:t xml:space="preserve">Vendor Website: </w:t>
      </w:r>
      <w:hyperlink r:id="rId12" w:history="1">
        <w:r w:rsidRPr="00A5694B">
          <w:rPr>
            <w:rStyle w:val="Hyperlink"/>
            <w:rFonts w:cstheme="minorHAnsi"/>
          </w:rPr>
          <w:t>https://www.actfl.org</w:t>
        </w:r>
      </w:hyperlink>
    </w:p>
    <w:p w14:paraId="3C5AA2FC" w14:textId="77777777" w:rsidR="00C051F9" w:rsidRPr="00A5694B" w:rsidRDefault="00C051F9" w:rsidP="007768FB">
      <w:pPr>
        <w:spacing w:after="120" w:line="240" w:lineRule="auto"/>
        <w:rPr>
          <w:rFonts w:cstheme="minorHAnsi"/>
        </w:rPr>
      </w:pPr>
      <w:r w:rsidRPr="00A5694B">
        <w:rPr>
          <w:rFonts w:cstheme="minorHAnsi"/>
        </w:rPr>
        <w:t xml:space="preserve">Vendor Contact: Margaret Malone, </w:t>
      </w:r>
      <w:hyperlink r:id="rId13" w:history="1">
        <w:r w:rsidRPr="00A5694B">
          <w:rPr>
            <w:rStyle w:val="Hyperlink"/>
            <w:rFonts w:cstheme="minorHAnsi"/>
          </w:rPr>
          <w:t>mmalone@actfl.org</w:t>
        </w:r>
      </w:hyperlink>
    </w:p>
    <w:p w14:paraId="7241AB1A" w14:textId="4D7B99C5" w:rsidR="00BD3AF5" w:rsidRPr="00183A64" w:rsidRDefault="00C051F9" w:rsidP="007768FB">
      <w:pPr>
        <w:spacing w:after="120" w:line="240" w:lineRule="auto"/>
        <w:rPr>
          <w:rFonts w:cstheme="minorHAnsi"/>
        </w:rPr>
      </w:pPr>
      <w:r w:rsidRPr="00A5694B">
        <w:rPr>
          <w:rFonts w:eastAsiaTheme="minorEastAsia" w:cstheme="minorHAnsi"/>
          <w:color w:val="000000" w:themeColor="text1"/>
          <w:lang w:val="en"/>
        </w:rPr>
        <w:t xml:space="preserve">For more information on the Teacher Incentive Allotment, please visit the </w:t>
      </w:r>
      <w:hyperlink r:id="rId14">
        <w:r w:rsidRPr="00A5694B">
          <w:rPr>
            <w:rStyle w:val="Hyperlink"/>
            <w:rFonts w:eastAsiaTheme="minorEastAsia" w:cstheme="minorHAnsi"/>
            <w:lang w:val="en"/>
          </w:rPr>
          <w:t>Teacher Incentive Allotment website.</w:t>
        </w:r>
      </w:hyperlink>
    </w:p>
    <w:p w14:paraId="6432FD52" w14:textId="77777777" w:rsidR="00BD3AF5" w:rsidRPr="00183A64" w:rsidRDefault="00BD3AF5" w:rsidP="00BD3AF5">
      <w:pPr>
        <w:rPr>
          <w:rFonts w:cstheme="minorHAnsi"/>
        </w:rPr>
      </w:pPr>
    </w:p>
    <w:sectPr w:rsidR="00BD3AF5" w:rsidRPr="00183A64" w:rsidSect="0045582A">
      <w:footerReference w:type="default" r:id="rId15"/>
      <w:headerReference w:type="first" r:id="rId16"/>
      <w:footerReference w:type="first" r:id="rId17"/>
      <w:pgSz w:w="12240" w:h="15840"/>
      <w:pgMar w:top="720" w:right="720" w:bottom="1872"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72B18" w14:textId="77777777" w:rsidR="00A63F6D" w:rsidRDefault="00A63F6D" w:rsidP="0012010E">
      <w:pPr>
        <w:spacing w:after="0" w:line="240" w:lineRule="auto"/>
      </w:pPr>
      <w:r>
        <w:separator/>
      </w:r>
    </w:p>
  </w:endnote>
  <w:endnote w:type="continuationSeparator" w:id="0">
    <w:p w14:paraId="1F1E463B" w14:textId="77777777" w:rsidR="00A63F6D" w:rsidRDefault="00A63F6D" w:rsidP="0012010E">
      <w:pPr>
        <w:spacing w:after="0" w:line="240" w:lineRule="auto"/>
      </w:pPr>
      <w:r>
        <w:continuationSeparator/>
      </w:r>
    </w:p>
  </w:endnote>
  <w:endnote w:type="continuationNotice" w:id="1">
    <w:p w14:paraId="286D433F" w14:textId="77777777" w:rsidR="00A63F6D" w:rsidRDefault="00A63F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82A9" w14:textId="74DC66FB" w:rsidR="0012010E" w:rsidRDefault="003355FA">
    <w:pPr>
      <w:pStyle w:val="Footer"/>
    </w:pPr>
    <w:r>
      <w:rPr>
        <w:noProof/>
      </w:rPr>
      <w:drawing>
        <wp:anchor distT="0" distB="0" distL="114300" distR="114300" simplePos="0" relativeHeight="251658243" behindDoc="0" locked="0" layoutInCell="1" allowOverlap="1" wp14:anchorId="2F3F0EBA" wp14:editId="75FDFF22">
          <wp:simplePos x="0" y="0"/>
          <wp:positionH relativeFrom="margin">
            <wp:align>center</wp:align>
          </wp:positionH>
          <wp:positionV relativeFrom="paragraph">
            <wp:posOffset>-686435</wp:posOffset>
          </wp:positionV>
          <wp:extent cx="2437130" cy="555625"/>
          <wp:effectExtent l="0" t="0" r="127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7130" cy="555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7B27BE1F" wp14:editId="4667B068">
              <wp:simplePos x="0" y="0"/>
              <wp:positionH relativeFrom="margin">
                <wp:posOffset>-1685925</wp:posOffset>
              </wp:positionH>
              <wp:positionV relativeFrom="paragraph">
                <wp:posOffset>-911860</wp:posOffset>
              </wp:positionV>
              <wp:extent cx="9313545" cy="45085"/>
              <wp:effectExtent l="0" t="0" r="1905"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313545" cy="45085"/>
                      </a:xfrm>
                      <a:prstGeom prst="rect">
                        <a:avLst/>
                      </a:prstGeom>
                      <a:solidFill>
                        <a:srgbClr val="F160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5D075" id="Rectangle 8" o:spid="_x0000_s1026" alt="&quot;&quot;" style="position:absolute;margin-left:-132.75pt;margin-top:-71.8pt;width:733.35pt;height:3.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KBfwIAAF4FAAAOAAAAZHJzL2Uyb0RvYy54bWysVFFv2yAQfp+0/4B4X22nSddGdaqoVaZJ&#10;VRutnfpMMMSWMMeAxMl+/Q6wna6r9jAtDwS47767+3zH9c2hVWQvrGtAl7Q4yykRmkPV6G1Jvz+v&#10;Pl1S4jzTFVOgRUmPwtGbxccP152ZiwnUoCphCZJoN+9MSWvvzTzLHK9Fy9wZGKHRKMG2zOPRbrPK&#10;sg7ZW5VN8vwi68BWxgIXzuHtXTLSReSXUnD/KKUTnqiSYm4+rjaum7Bmi2s231pm6ob3abB/yKJl&#10;jcagI9Ud84zsbPMHVdtwCw6kP+PQZiBlw0WsAasp8jfVPNXMiFgLiuPMKJP7f7T8Yf9k1hZl6Iyb&#10;O9yGKg7StuEf8yOHKNZxFEscPOF4eXVenM+mM0o42qaz/HIWxMxOzsY6/0VAS8KmpBa/RZSI7e+d&#10;T9ABEmI5UE21apSKB7vd3CpL9gy/26q4yM8ve/bfYEoHsIbglhjDTXYqJe78UYmAU/qbkKSpMPlJ&#10;zCR2mRjjMM6F9kUy1awSKfwsx98QPfRl8IiVRsLALDH+yN0TDMhEMnCnLHt8cBWxSUfn/G+JJefR&#10;I0YG7UfnttFg3yNQWFUfOeEHkZI0QaUNVMe1JRbSiDjDVw1+t3vm/JpZnAmcHpxz/4iLVNCVFPod&#10;JTXYn+/dBzy2Klop6XDGSup+7JgVlKivGpv4qphOw1DGw3T2eYIH+9qyeW3Ru/YWsB0KfFEMj9uA&#10;92rYSgvtCz4HyxAVTUxzjF1S7u1wuPVp9vFB4WK5jDAcRMP8vX4yPJAHVUNfPh9emDV983rs+gcY&#10;5pHN3/RwwgZPDcudB9nEBj/p2uuNQxwbp39wwivx+hxRp2dx8QsAAP//AwBQSwMEFAAGAAgAAAAh&#10;AM3dtcPkAAAADwEAAA8AAABkcnMvZG93bnJldi54bWxMj8tOwzAQRfdI/IM1SOxaOymJqhCnAiRe&#10;QgJRuoCdGw9JRDyObLdJ/x5nBbt5HN05U24m07MjOt9ZkpAsBTCk2uqOGgm7j/vFGpgPirTqLaGE&#10;E3rYVOdnpSq0Hekdj9vQsBhCvlAS2hCGgnNft2iUX9oBKe6+rTMqxNY1XDs1xnDT81SInBvVUbzQ&#10;qgHvWqx/tgcjgT987t7Wz27Q4fblcXw6CfP1KqS8vJhuroEFnMIfDLN+VIcqOu3tgbRnvYRFmmdZ&#10;ZGOVXK1yYDOTiiQFtp9nqzwDXpX8/x/VLwAAAP//AwBQSwECLQAUAAYACAAAACEAtoM4kv4AAADh&#10;AQAAEwAAAAAAAAAAAAAAAAAAAAAAW0NvbnRlbnRfVHlwZXNdLnhtbFBLAQItABQABgAIAAAAIQA4&#10;/SH/1gAAAJQBAAALAAAAAAAAAAAAAAAAAC8BAABfcmVscy8ucmVsc1BLAQItABQABgAIAAAAIQAi&#10;jAKBfwIAAF4FAAAOAAAAAAAAAAAAAAAAAC4CAABkcnMvZTJvRG9jLnhtbFBLAQItABQABgAIAAAA&#10;IQDN3bXD5AAAAA8BAAAPAAAAAAAAAAAAAAAAANkEAABkcnMvZG93bnJldi54bWxQSwUGAAAAAAQA&#10;BADzAAAA6gUAAAAA&#10;" fillcolor="#f16038" stroked="f" strokeweight="1pt">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BF61" w14:textId="76C7B08A" w:rsidR="00E16E45" w:rsidRDefault="00FB25C2">
    <w:pPr>
      <w:pStyle w:val="Footer"/>
    </w:pPr>
    <w:r w:rsidRPr="00FB25C2">
      <w:rPr>
        <w:noProof/>
      </w:rPr>
      <w:drawing>
        <wp:anchor distT="0" distB="0" distL="114300" distR="114300" simplePos="0" relativeHeight="251658242" behindDoc="0" locked="0" layoutInCell="1" allowOverlap="1" wp14:anchorId="763B0991" wp14:editId="69D1ECB0">
          <wp:simplePos x="0" y="0"/>
          <wp:positionH relativeFrom="margin">
            <wp:align>center</wp:align>
          </wp:positionH>
          <wp:positionV relativeFrom="paragraph">
            <wp:posOffset>-708025</wp:posOffset>
          </wp:positionV>
          <wp:extent cx="1102995" cy="542290"/>
          <wp:effectExtent l="0" t="0" r="1905"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02995" cy="542290"/>
                  </a:xfrm>
                  <a:prstGeom prst="rect">
                    <a:avLst/>
                  </a:prstGeom>
                </pic:spPr>
              </pic:pic>
            </a:graphicData>
          </a:graphic>
          <wp14:sizeRelH relativeFrom="page">
            <wp14:pctWidth>0</wp14:pctWidth>
          </wp14:sizeRelH>
          <wp14:sizeRelV relativeFrom="page">
            <wp14:pctHeight>0</wp14:pctHeight>
          </wp14:sizeRelV>
        </wp:anchor>
      </w:drawing>
    </w:r>
    <w:r w:rsidRPr="00FB25C2">
      <w:rPr>
        <w:noProof/>
      </w:rPr>
      <mc:AlternateContent>
        <mc:Choice Requires="wps">
          <w:drawing>
            <wp:anchor distT="0" distB="0" distL="114300" distR="114300" simplePos="0" relativeHeight="251658241" behindDoc="0" locked="0" layoutInCell="1" allowOverlap="1" wp14:anchorId="59DC7A38" wp14:editId="3B0DD3A2">
              <wp:simplePos x="0" y="0"/>
              <wp:positionH relativeFrom="margin">
                <wp:posOffset>-1685290</wp:posOffset>
              </wp:positionH>
              <wp:positionV relativeFrom="paragraph">
                <wp:posOffset>-925830</wp:posOffset>
              </wp:positionV>
              <wp:extent cx="9313545" cy="45085"/>
              <wp:effectExtent l="0" t="0" r="1905"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313545" cy="45085"/>
                      </a:xfrm>
                      <a:prstGeom prst="rect">
                        <a:avLst/>
                      </a:prstGeom>
                      <a:solidFill>
                        <a:srgbClr val="F160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2D279" id="Rectangle 12" o:spid="_x0000_s1026" alt="&quot;&quot;" style="position:absolute;margin-left:-132.7pt;margin-top:-72.9pt;width:733.35pt;height:3.5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KBfwIAAF4FAAAOAAAAZHJzL2Uyb0RvYy54bWysVFFv2yAQfp+0/4B4X22nSddGdaqoVaZJ&#10;VRutnfpMMMSWMMeAxMl+/Q6wna6r9jAtDwS47767+3zH9c2hVWQvrGtAl7Q4yykRmkPV6G1Jvz+v&#10;Pl1S4jzTFVOgRUmPwtGbxccP152ZiwnUoCphCZJoN+9MSWvvzTzLHK9Fy9wZGKHRKMG2zOPRbrPK&#10;sg7ZW5VN8vwi68BWxgIXzuHtXTLSReSXUnD/KKUTnqiSYm4+rjaum7Bmi2s231pm6ob3abB/yKJl&#10;jcagI9Ud84zsbPMHVdtwCw6kP+PQZiBlw0WsAasp8jfVPNXMiFgLiuPMKJP7f7T8Yf9k1hZl6Iyb&#10;O9yGKg7StuEf8yOHKNZxFEscPOF4eXVenM+mM0o42qaz/HIWxMxOzsY6/0VAS8KmpBa/RZSI7e+d&#10;T9ABEmI5UE21apSKB7vd3CpL9gy/26q4yM8ve/bfYEoHsIbglhjDTXYqJe78UYmAU/qbkKSpMPlJ&#10;zCR2mRjjMM6F9kUy1awSKfwsx98QPfRl8IiVRsLALDH+yN0TDMhEMnCnLHt8cBWxSUfn/G+JJefR&#10;I0YG7UfnttFg3yNQWFUfOeEHkZI0QaUNVMe1JRbSiDjDVw1+t3vm/JpZnAmcHpxz/4iLVNCVFPod&#10;JTXYn+/dBzy2Klop6XDGSup+7JgVlKivGpv4qphOw1DGw3T2eYIH+9qyeW3Ru/YWsB0KfFEMj9uA&#10;92rYSgvtCz4HyxAVTUxzjF1S7u1wuPVp9vFB4WK5jDAcRMP8vX4yPJAHVUNfPh9emDV983rs+gcY&#10;5pHN3/RwwgZPDcudB9nEBj/p2uuNQxwbp39wwivx+hxRp2dx8QsAAP//AwBQSwMEFAAGAAgAAAAh&#10;AEBvQ3LlAAAADwEAAA8AAABkcnMvZG93bnJldi54bWxMj0tPwzAQhO9I/Adrkbi1dtIHUYhTARIv&#10;IYEoPcDNjZckIrYj223Sf8/mBLfdndHsN8VmNB07og+tsxKSuQCGtnK6tbWE3cf9LAMWorJadc6i&#10;hBMG2JTnZ4XKtRvsOx63sWYUYkOuJDQx9jnnoWrQqDB3PVrSvp03KtLqa669GijcdDwVYs2Nai19&#10;aFSPdw1WP9uDkcAfPndv2bPvdbx9eRyeTsJ8vQopLy/Gm2tgEcf4Z4YJn9ChJKa9O1gdWCdhlq5X&#10;S/LSlCxX1GLypCJZANtPt0V2Bbws+P8e5S8AAAD//wMAUEsBAi0AFAAGAAgAAAAhALaDOJL+AAAA&#10;4QEAABMAAAAAAAAAAAAAAAAAAAAAAFtDb250ZW50X1R5cGVzXS54bWxQSwECLQAUAAYACAAAACEA&#10;OP0h/9YAAACUAQAACwAAAAAAAAAAAAAAAAAvAQAAX3JlbHMvLnJlbHNQSwECLQAUAAYACAAAACEA&#10;IowCgX8CAABeBQAADgAAAAAAAAAAAAAAAAAuAgAAZHJzL2Uyb0RvYy54bWxQSwECLQAUAAYACAAA&#10;ACEAQG9DcuUAAAAPAQAADwAAAAAAAAAAAAAAAADZBAAAZHJzL2Rvd25yZXYueG1sUEsFBgAAAAAE&#10;AAQA8wAAAOsFAAAAAA==&#10;" fillcolor="#f16038"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6DBF1" w14:textId="77777777" w:rsidR="00A63F6D" w:rsidRDefault="00A63F6D" w:rsidP="0012010E">
      <w:pPr>
        <w:spacing w:after="0" w:line="240" w:lineRule="auto"/>
      </w:pPr>
      <w:r>
        <w:separator/>
      </w:r>
    </w:p>
  </w:footnote>
  <w:footnote w:type="continuationSeparator" w:id="0">
    <w:p w14:paraId="7E3C2B3E" w14:textId="77777777" w:rsidR="00A63F6D" w:rsidRDefault="00A63F6D" w:rsidP="0012010E">
      <w:pPr>
        <w:spacing w:after="0" w:line="240" w:lineRule="auto"/>
      </w:pPr>
      <w:r>
        <w:continuationSeparator/>
      </w:r>
    </w:p>
  </w:footnote>
  <w:footnote w:type="continuationNotice" w:id="1">
    <w:p w14:paraId="5C4C1825" w14:textId="77777777" w:rsidR="00A63F6D" w:rsidRDefault="00A63F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78A2" w14:textId="0FB1786F" w:rsidR="00781F1F" w:rsidRDefault="00781F1F" w:rsidP="00781F1F">
    <w:pPr>
      <w:pStyle w:val="Header"/>
    </w:pPr>
  </w:p>
  <w:p w14:paraId="6AAE7375" w14:textId="7C9016F5" w:rsidR="00E16E45" w:rsidRPr="00781F1F" w:rsidRDefault="009805FC" w:rsidP="00781F1F">
    <w:pPr>
      <w:pStyle w:val="Header"/>
    </w:pPr>
    <w:r w:rsidRPr="00E9574A">
      <w:rPr>
        <w:noProof/>
      </w:rPr>
      <w:drawing>
        <wp:anchor distT="0" distB="0" distL="114300" distR="114300" simplePos="0" relativeHeight="251660291" behindDoc="0" locked="0" layoutInCell="1" allowOverlap="1" wp14:anchorId="337EA18A" wp14:editId="5B8B0F97">
          <wp:simplePos x="0" y="0"/>
          <wp:positionH relativeFrom="column">
            <wp:posOffset>0</wp:posOffset>
          </wp:positionH>
          <wp:positionV relativeFrom="paragraph">
            <wp:posOffset>142240</wp:posOffset>
          </wp:positionV>
          <wp:extent cx="1454785" cy="67183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785" cy="671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574A">
      <w:rPr>
        <w:noProof/>
      </w:rPr>
      <mc:AlternateContent>
        <mc:Choice Requires="wps">
          <w:drawing>
            <wp:anchor distT="0" distB="0" distL="114300" distR="114300" simplePos="0" relativeHeight="251661315" behindDoc="0" locked="0" layoutInCell="1" allowOverlap="1" wp14:anchorId="7AE753CC" wp14:editId="4115D9A5">
              <wp:simplePos x="0" y="0"/>
              <wp:positionH relativeFrom="column">
                <wp:posOffset>1617980</wp:posOffset>
              </wp:positionH>
              <wp:positionV relativeFrom="paragraph">
                <wp:posOffset>114935</wp:posOffset>
              </wp:positionV>
              <wp:extent cx="5274945" cy="156845"/>
              <wp:effectExtent l="0" t="0" r="1905"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74945" cy="1568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2A8211" id="Rectangle 1" o:spid="_x0000_s1026" alt="&quot;&quot;" style="position:absolute;margin-left:127.4pt;margin-top:9.05pt;width:415.35pt;height:12.35pt;z-index:2516613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7McgIAAGIFAAAOAAAAZHJzL2Uyb0RvYy54bWysVNtu2zAMfR+wfxD0vjoOkl6COEXQosOA&#10;oi3aDn1WZak2IIsapcTJvn6UfEnXFhswLA8KJR4eXkxyeb5rDNsq9DXYgudHE86UlVDW9qXg3x+v&#10;vpxy5oOwpTBgVcH3yvPz1edPy9Yt1BQqMKVCRiTWL1pX8CoEt8gyLyvVCH8ETllSasBGBLriS1ai&#10;aIm9Mdl0MjnOWsDSIUjlPb1edkq+SvxaKxlutfYqMFNwii2kE9P5HM9stRSLFxSuqmUfhviHKBpR&#10;W3I6Ul2KINgG63dUTS0RPOhwJKHJQOtaqpQDZZNP3mTzUAmnUi5UHO/GMvn/Rytvtg/uDqkMrfML&#10;T2LMYqexif8UH9ulYu3HYqldYJIe59OT2dlszpkkXT4/PiWZaLKDtUMfvipoWBQKjvQxUo3E9tqH&#10;DjpAojMPpi6vamPSJTaAujDItoI+nZBS2ZD3Dn5DGhvxFqJlRxpfskM6SQp7oyLO2HulWV1SAtMU&#10;TOq0945SDJUoVed/PqHf4H0ILSWbCCNak/+RO/8Tdxdlj4+mKjXqaDz5u/FokTyDDaNxU1vAjwjM&#10;WD7d4YcidaWJVXqGcn+HDKEbE+/kVU2f7lr4cCeQ5oImiGY93NKhDbQFh17irAL8+dF7xFO7kpaz&#10;luas4P7HRqDizHyz1Mhn+WwWBzNdZvOTKV3wteb5tcZumgugfshpqziZxIgPZhA1QvNEK2EdvZJK&#10;WEm+Cy4DDpeL0M0/LRWp1usEo2F0IlzbBycjeaxqbM3H3ZNA1/dvoM6/gWEmxeJNG3fYaGlhvQmg&#10;69Tjh7r29aZBTo3TL524KV7fE+qwGle/AAAA//8DAFBLAwQUAAYACAAAACEAi++zceAAAAAKAQAA&#10;DwAAAGRycy9kb3ducmV2LnhtbEyPMW/CMBSE90r9D9ZD6lYcAmmjEAchJJaqQmpaBjYTv8Yp8XMU&#10;m5D212MmOp7udPddvhpNywbsXWNJwGwaAUOqrGqoFvD1uX1OgTkvScnWEgr4RQer4vEhl5myF/rA&#10;ofQ1CyXkMilAe99lnLtKo5Fuajuk4H3b3kgfZF9z1ctLKDctj6PohRvZUFjQssONxupUno2At5/X&#10;eamH9fA33+Fe2/37YbtxQjxNxvUSmMfR38Nwww/oUASmoz2TcqwVECeLgO6Dkc6A3QJRmiTAjgIW&#10;cQq8yPn/C8UVAAD//wMAUEsBAi0AFAAGAAgAAAAhALaDOJL+AAAA4QEAABMAAAAAAAAAAAAAAAAA&#10;AAAAAFtDb250ZW50X1R5cGVzXS54bWxQSwECLQAUAAYACAAAACEAOP0h/9YAAACUAQAACwAAAAAA&#10;AAAAAAAAAAAvAQAAX3JlbHMvLnJlbHNQSwECLQAUAAYACAAAACEAxh3ezHICAABiBQAADgAAAAAA&#10;AAAAAAAAAAAuAgAAZHJzL2Uyb0RvYy54bWxQSwECLQAUAAYACAAAACEAi++zceAAAAAKAQAADwAA&#10;AAAAAAAAAAAAAADMBAAAZHJzL2Rvd25yZXYueG1sUEsFBgAAAAAEAAQA8wAAANkFAAAAAA==&#10;" fillcolor="#00a69b [3204]" stroked="f" strokeweight="1pt"/>
          </w:pict>
        </mc:Fallback>
      </mc:AlternateContent>
    </w:r>
    <w:r w:rsidRPr="00E9574A">
      <w:rPr>
        <w:noProof/>
      </w:rPr>
      <mc:AlternateContent>
        <mc:Choice Requires="wps">
          <w:drawing>
            <wp:anchor distT="0" distB="0" distL="114300" distR="114300" simplePos="0" relativeHeight="251662339" behindDoc="0" locked="0" layoutInCell="1" allowOverlap="1" wp14:anchorId="26D08031" wp14:editId="7E4B70F2">
              <wp:simplePos x="0" y="0"/>
              <wp:positionH relativeFrom="column">
                <wp:posOffset>1617980</wp:posOffset>
              </wp:positionH>
              <wp:positionV relativeFrom="paragraph">
                <wp:posOffset>306070</wp:posOffset>
              </wp:positionV>
              <wp:extent cx="3861435" cy="156845"/>
              <wp:effectExtent l="0" t="0" r="5715" b="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61435" cy="15684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70D155" id="Rectangle 9" o:spid="_x0000_s1026" alt="&quot;&quot;" style="position:absolute;margin-left:127.4pt;margin-top:24.1pt;width:304.05pt;height:12.35pt;z-index:2516623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U3eQIAAGIFAAAOAAAAZHJzL2Uyb0RvYy54bWysVE1v2zAMvQ/YfxB0Xx2nSdcFdYqgRYcB&#10;RRu0HXpWZak2IIsapcTJfv0o+SNZV+wwLAdFEh8fyWdSF5e7xrCtQl+DLXh+MuFMWQllbV8L/v3p&#10;5tM5Zz4IWwoDVhV8rzy/XH78cNG6hZpCBaZUyIjE+kXrCl6F4BZZ5mWlGuFPwClLRg3YiEBHfM1K&#10;FC2xNyabTiZnWQtYOgSpvKfb687Il4lfayXDvdZeBWYKTrmFtGJaX+KaLS/E4hWFq2rZpyH+IYtG&#10;1JaCjlTXIgi2wfoPqqaWCB50OJHQZKB1LVWqgarJJ2+qeayEU6kWEse7USb//2jl3fbRrZFkaJ1f&#10;eNrGKnYam/hP+bFdEms/iqV2gUm6PD0/y2enc84k2fL52flsHtXMDt4OffiqoGFxU3Ckj5E0Ettb&#10;HzroAInBPJi6vKmNSYfYAOrKINsK+nRCSmXDtA/wG9LYiLcQPTvSeJMdykm7sDcq4ox9UJrVJRUw&#10;TcmkTnsbKO9MlShVF38+od8QfUgtFZsII7Om+CN3TzAgj4vIe5oeH11VatTRefK3xLoSR48UGWwY&#10;nZvaAr5HYMIYucMPInXSRJVeoNyvkSF0Y+KdvKnp090KH9YCaS5ogmjWwz0t2kBbcOh3nFWAP9+7&#10;j3hqV7Jy1tKcFdz/2AhUnJlvlhr5Sz6bxcFMh9n885QOeGx5ObbYTXMF1A85vSpOpm3EBzNsNULz&#10;TE/CKkYlk7CSYhdcBhwOV6Gbf3pUpFqtEoyG0Ylwax+djORR1diaT7tnga7v30CdfwfDTIrFmzbu&#10;sNHTwmoTQNepxw+69nrTIKfG6R+d+FIcnxPq8DQufwEAAP//AwBQSwMEFAAGAAgAAAAhAKmXsIXd&#10;AAAACQEAAA8AAABkcnMvZG93bnJldi54bWxMj8FOwzAQRO9I/IO1SNyoQ9SGNGRTAaIXxKWFD3Di&#10;JQnE6yh20/D3LCc4rUY7mnlT7hY3qJmm0HtGuF0loIgbb3tuEd7f9jc5qBANWzN4JoRvCrCrLi9K&#10;U1h/5gPNx9gqCeFQGIQuxrHQOjQdORNWfiSW34efnIkip1bbyZwl3A06TZJMO9OzNHRmpKeOmq/j&#10;ySE8O795/dzObp/2tddZzvHxhRGvr5aHe1CRlvhnhl98QYdKmGp/YhvUgJBu1oIeEdZ5CkoMeZZu&#10;QdUId3J1Ver/C6ofAAAA//8DAFBLAQItABQABgAIAAAAIQC2gziS/gAAAOEBAAATAAAAAAAAAAAA&#10;AAAAAAAAAABbQ29udGVudF9UeXBlc10ueG1sUEsBAi0AFAAGAAgAAAAhADj9If/WAAAAlAEAAAsA&#10;AAAAAAAAAAAAAAAALwEAAF9yZWxzLy5yZWxzUEsBAi0AFAAGAAgAAAAhAJ6p5Td5AgAAYgUAAA4A&#10;AAAAAAAAAAAAAAAALgIAAGRycy9lMm9Eb2MueG1sUEsBAi0AFAAGAAgAAAAhAKmXsIXdAAAACQEA&#10;AA8AAAAAAAAAAAAAAAAA0wQAAGRycy9kb3ducmV2LnhtbFBLBQYAAAAABAAEAPMAAADdBQAAAAA=&#10;" fillcolor="#87c54a [3205]" stroked="f" strokeweight="1pt"/>
          </w:pict>
        </mc:Fallback>
      </mc:AlternateContent>
    </w:r>
    <w:r w:rsidRPr="00E9574A">
      <w:rPr>
        <w:noProof/>
      </w:rPr>
      <mc:AlternateContent>
        <mc:Choice Requires="wps">
          <w:drawing>
            <wp:anchor distT="0" distB="0" distL="114300" distR="114300" simplePos="0" relativeHeight="251663363" behindDoc="0" locked="0" layoutInCell="1" allowOverlap="1" wp14:anchorId="542489BB" wp14:editId="2F38E43C">
              <wp:simplePos x="0" y="0"/>
              <wp:positionH relativeFrom="column">
                <wp:posOffset>1617980</wp:posOffset>
              </wp:positionH>
              <wp:positionV relativeFrom="paragraph">
                <wp:posOffset>500380</wp:posOffset>
              </wp:positionV>
              <wp:extent cx="2856865" cy="156845"/>
              <wp:effectExtent l="0" t="0" r="635" b="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6865" cy="15684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63F3A9" id="Rectangle 10" o:spid="_x0000_s1026" alt="&quot;&quot;" style="position:absolute;margin-left:127.4pt;margin-top:39.4pt;width:224.95pt;height:12.35pt;z-index:2516633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NZdwIAAGIFAAAOAAAAZHJzL2Uyb0RvYy54bWysVE1v2zAMvQ/YfxB0Xx1nSdcFdYqgRYcB&#10;RVusHXpWZSk2IIsapcTJfv0o+SNZVuwwLAeFEslH8pnk5dWuMWyr0NdgC56fTThTVkJZ23XBvz/f&#10;frjgzAdhS2HAqoLvledXy/fvLlu3UFOowJQKGYFYv2hdwasQ3CLLvKxUI/wZOGVJqQEbEeiK66xE&#10;0RJ6Y7LpZHKetYClQ5DKe3q96ZR8mfC1VjI8aO1VYKbglFtIJ6bzNZ7Z8lIs1ihcVcs+DfEPWTSi&#10;thR0hLoRQbAN1n9ANbVE8KDDmYQmA61rqVINVE0+OanmqRJOpVqIHO9Gmvz/g5X32yf3iERD6/zC&#10;kxir2Gls4j/lx3aJrP1IltoFJulxejE/vzifcyZJl5M8m0c2s4O3Qx++KGhYFAqO9DESR2J750Nn&#10;OpjEYB5MXd7WxqRLbAB1bZBtBX06IaWy4WMf4DdLY6O9hejZgcaX7FBOksLeqGhn7DelWV3GAlIy&#10;qdNOA+WdqhKl6uLPJ/Qbog+ppWITYETWFH/E7gEGy+Mi8h6mt4+uKjXq6Dz5W2JdiaNHigw2jM5N&#10;bQHfAjBhjNzZDyR11ESWXqHcPyJD6MbEO3lb06e7Ez48CqS5oAmiWQ8PdGgDbcGhlzirAH++9R7t&#10;qV1Jy1lLc1Zw/2MjUHFmvlpq5M/5bBYHM11m809TuuCx5vVYYzfNNVA/5LRVnExitA9mEDVC80Ir&#10;YRWjkkpYSbELLgMOl+vQzT8tFalWq2RGw+hEuLNPTkbwyGpszefdi0DX92+gzr+HYSbF4qSNO9vo&#10;aWG1CaDr1OMHXnu+aZBT4/RLJ26K43uyOqzG5S8AAAD//wMAUEsDBBQABgAIAAAAIQC+awtS4AAA&#10;AAoBAAAPAAAAZHJzL2Rvd25yZXYueG1sTI/BTsMwDIbvSLxDZCRuLNlY16lrOgESh8EuHeWeNV5a&#10;aJLSpFt5e8wJTpblT7+/P99OtmNnHELrnYT5TABDV3vdOiOhenu+WwMLUTmtOu9QwjcG2BbXV7nK&#10;tL+4Es+HaBiFuJApCU2MfcZ5qBu0Ksx8j45uJz9YFWkdDNeDulC47fhCiBW3qnX0oVE9PjVYfx5G&#10;K2G3MuWH3o/Ja/VYlXpuvnD3/iLl7c30sAEWcYp/MPzqkzoU5HT0o9OBdRIWyZLUo4R0TZOAVCxT&#10;YEcixX0CvMj5/wrFDwAAAP//AwBQSwECLQAUAAYACAAAACEAtoM4kv4AAADhAQAAEwAAAAAAAAAA&#10;AAAAAAAAAAAAW0NvbnRlbnRfVHlwZXNdLnhtbFBLAQItABQABgAIAAAAIQA4/SH/1gAAAJQBAAAL&#10;AAAAAAAAAAAAAAAAAC8BAABfcmVscy8ucmVsc1BLAQItABQABgAIAAAAIQDQqINZdwIAAGIFAAAO&#10;AAAAAAAAAAAAAAAAAC4CAABkcnMvZTJvRG9jLnhtbFBLAQItABQABgAIAAAAIQC+awtS4AAAAAoB&#10;AAAPAAAAAAAAAAAAAAAAANEEAABkcnMvZG93bnJldi54bWxQSwUGAAAAAAQABADzAAAA3gUAAAAA&#10;" fillcolor="#f8cc2b [3206]" stroked="f" strokeweight="1pt"/>
          </w:pict>
        </mc:Fallback>
      </mc:AlternateContent>
    </w:r>
    <w:r w:rsidRPr="00E9574A">
      <w:rPr>
        <w:noProof/>
      </w:rPr>
      <mc:AlternateContent>
        <mc:Choice Requires="wps">
          <w:drawing>
            <wp:anchor distT="0" distB="0" distL="114300" distR="114300" simplePos="0" relativeHeight="251664387" behindDoc="0" locked="0" layoutInCell="1" allowOverlap="1" wp14:anchorId="4B5C6CD1" wp14:editId="00E20AB2">
              <wp:simplePos x="0" y="0"/>
              <wp:positionH relativeFrom="column">
                <wp:posOffset>5426710</wp:posOffset>
              </wp:positionH>
              <wp:positionV relativeFrom="paragraph">
                <wp:posOffset>266065</wp:posOffset>
              </wp:positionV>
              <wp:extent cx="1557020" cy="445770"/>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57020" cy="445770"/>
                      </a:xfrm>
                      <a:prstGeom prst="rect">
                        <a:avLst/>
                      </a:prstGeom>
                      <a:noFill/>
                      <a:ln w="6350">
                        <a:noFill/>
                      </a:ln>
                    </wps:spPr>
                    <wps:txbx>
                      <w:txbxContent>
                        <w:p w14:paraId="11302D92" w14:textId="77777777" w:rsidR="00781F1F" w:rsidRPr="00D52F05" w:rsidRDefault="00360D7F" w:rsidP="00781F1F">
                          <w:pPr>
                            <w:spacing w:after="60"/>
                            <w:jc w:val="right"/>
                            <w:rPr>
                              <w:sz w:val="20"/>
                              <w:szCs w:val="20"/>
                            </w:rPr>
                          </w:pPr>
                          <w:hyperlink r:id="rId2" w:history="1">
                            <w:r w:rsidR="00781F1F" w:rsidRPr="00D52F05">
                              <w:rPr>
                                <w:rStyle w:val="Hyperlink"/>
                                <w:color w:val="auto"/>
                                <w:sz w:val="20"/>
                                <w:szCs w:val="20"/>
                                <w:u w:val="none"/>
                              </w:rPr>
                              <w:t>TIA@TEA.TEXAS.GOV</w:t>
                            </w:r>
                          </w:hyperlink>
                        </w:p>
                        <w:p w14:paraId="0050FC94" w14:textId="77777777" w:rsidR="00781F1F" w:rsidRPr="00D52F05" w:rsidRDefault="00781F1F" w:rsidP="00781F1F">
                          <w:pPr>
                            <w:spacing w:after="0"/>
                            <w:jc w:val="right"/>
                            <w:rPr>
                              <w:sz w:val="20"/>
                              <w:szCs w:val="20"/>
                            </w:rPr>
                          </w:pPr>
                          <w:r w:rsidRPr="00D52F05">
                            <w:rPr>
                              <w:sz w:val="20"/>
                              <w:szCs w:val="20"/>
                            </w:rPr>
                            <w:t>TIATEXAS.ORG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5C6CD1" id="_x0000_t202" coordsize="21600,21600" o:spt="202" path="m,l,21600r21600,l21600,xe">
              <v:stroke joinstyle="miter"/>
              <v:path gradientshapeok="t" o:connecttype="rect"/>
            </v:shapetype>
            <v:shape id="Text Box 11" o:spid="_x0000_s1026" type="#_x0000_t202" alt="&quot;&quot;" style="position:absolute;margin-left:427.3pt;margin-top:20.95pt;width:122.6pt;height:35.1pt;z-index:2516643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BzGFAIAACwEAAAOAAAAZHJzL2Uyb0RvYy54bWysU11v2yAUfZ+0/4B4X+xkSdtZcaqsVaZJ&#10;UVspnfpMMMSWgMuAxM5+/S7Y+VC3p2kv+OL7fc5hft9pRQ7C+QZMScejnBJhOFSN2ZX0x+vq0x0l&#10;PjBTMQVGlPQoPL1ffPwwb20hJlCDqoQjWMT4orUlrUOwRZZ5XgvN/AisMOiU4DQLeHW7rHKsxepa&#10;ZZM8v8lacJV1wIX3+Pexd9JFqi+l4OFZSi8CUSXF2UI6XTq38cwWc1bsHLN1w4cx2D9MoVljsOm5&#10;1CMLjOxd80cp3XAHHmQYcdAZSNlwkXbAbcb5u202NbMi7YLgeHuGyf+/svzpsLEvjoTuK3RIYASk&#10;tb7w+DPu00mn4xcnJehHCI9n2EQXCI9Js9ltPkEXR990Oru9Tbhml2zrfPgmQJNolNQhLQktdlj7&#10;gB0x9BQSmxlYNUolapQhbUlvPs/ylHD2YIYymHiZNVqh23bDAluojriXg55yb/mqweZr5sMLc8gx&#10;zou6Dc94SAXYBAaLkhrcr7/9j/EIPXopaVEzJfU/98wJStR3g6R8GU+nUWTpgjhETNy1Z3vtMXv9&#10;ACjLMb4Qy5MZ44M6mdKBfkN5L2NXdDHDsXdJw8l8CL2S8XlwsVymIJSVZWFtNpbH0hHOCO1r98ac&#10;HfAPyNwTnNTFinc09LE9Ect9ANkkjiLAPaoD7ijJRN3wfKLmr+8p6vLIF78BAAD//wMAUEsDBBQA&#10;BgAIAAAAIQBGT76I4gAAAAsBAAAPAAAAZHJzL2Rvd25yZXYueG1sTI/BasMwDIbvg76DUWG31Ulo&#10;S5LFKSVQBmM7tOtlNyV2kzBbzmK3zfb0c0/rTUIfv76/2ExGs4saXW9JQLyIgClqrOypFXD82D2l&#10;wJxHkqgtKQE/ysGmnD0UmEt7pb26HHzLQgi5HAV03g85567plEG3sIOicDvZ0aAP69hyOeI1hBvN&#10;kyhac4M9hQ8dDqrqVPN1OBsBr9XuHfd1YtJfXb28nbbD9/FzJcTjfNo+A/Nq8v8w3PSDOpTBqbZn&#10;ko5pAelquQ6ogGWcAbsBUZaFMnWY4iQGXhb8vkP5BwAA//8DAFBLAQItABQABgAIAAAAIQC2gziS&#10;/gAAAOEBAAATAAAAAAAAAAAAAAAAAAAAAABbQ29udGVudF9UeXBlc10ueG1sUEsBAi0AFAAGAAgA&#10;AAAhADj9If/WAAAAlAEAAAsAAAAAAAAAAAAAAAAALwEAAF9yZWxzLy5yZWxzUEsBAi0AFAAGAAgA&#10;AAAhAHRgHMYUAgAALAQAAA4AAAAAAAAAAAAAAAAALgIAAGRycy9lMm9Eb2MueG1sUEsBAi0AFAAG&#10;AAgAAAAhAEZPvojiAAAACwEAAA8AAAAAAAAAAAAAAAAAbgQAAGRycy9kb3ducmV2LnhtbFBLBQYA&#10;AAAABAAEAPMAAAB9BQAAAAA=&#10;" filled="f" stroked="f" strokeweight=".5pt">
              <v:textbox>
                <w:txbxContent>
                  <w:p w14:paraId="11302D92" w14:textId="77777777" w:rsidR="00781F1F" w:rsidRPr="00D52F05" w:rsidRDefault="00360D7F" w:rsidP="00781F1F">
                    <w:pPr>
                      <w:spacing w:after="60"/>
                      <w:jc w:val="right"/>
                      <w:rPr>
                        <w:sz w:val="20"/>
                        <w:szCs w:val="20"/>
                      </w:rPr>
                    </w:pPr>
                    <w:hyperlink r:id="rId3" w:history="1">
                      <w:r w:rsidR="00781F1F" w:rsidRPr="00D52F05">
                        <w:rPr>
                          <w:rStyle w:val="Hyperlink"/>
                          <w:color w:val="auto"/>
                          <w:sz w:val="20"/>
                          <w:szCs w:val="20"/>
                          <w:u w:val="none"/>
                        </w:rPr>
                        <w:t>TIA@TEA.TEXAS.GOV</w:t>
                      </w:r>
                    </w:hyperlink>
                  </w:p>
                  <w:p w14:paraId="0050FC94" w14:textId="77777777" w:rsidR="00781F1F" w:rsidRPr="00D52F05" w:rsidRDefault="00781F1F" w:rsidP="00781F1F">
                    <w:pPr>
                      <w:spacing w:after="0"/>
                      <w:jc w:val="right"/>
                      <w:rPr>
                        <w:sz w:val="20"/>
                        <w:szCs w:val="20"/>
                      </w:rPr>
                    </w:pPr>
                    <w:r w:rsidRPr="00D52F05">
                      <w:rPr>
                        <w:sz w:val="20"/>
                        <w:szCs w:val="20"/>
                      </w:rPr>
                      <w:t>TIATEXAS.ORG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74AFB"/>
    <w:multiLevelType w:val="hybridMultilevel"/>
    <w:tmpl w:val="9BA81D08"/>
    <w:lvl w:ilvl="0" w:tplc="0FB27488">
      <w:numFmt w:val="bullet"/>
      <w:lvlText w:val="●"/>
      <w:lvlJc w:val="left"/>
      <w:pPr>
        <w:ind w:left="827" w:hanging="361"/>
      </w:pPr>
      <w:rPr>
        <w:rFonts w:ascii="Arial" w:eastAsia="Arial" w:hAnsi="Arial" w:cs="Arial" w:hint="default"/>
        <w:w w:val="100"/>
        <w:sz w:val="22"/>
        <w:szCs w:val="22"/>
        <w:lang w:val="en-US" w:eastAsia="en-US" w:bidi="ar-SA"/>
      </w:rPr>
    </w:lvl>
    <w:lvl w:ilvl="1" w:tplc="0942A3AC">
      <w:numFmt w:val="bullet"/>
      <w:lvlText w:val="•"/>
      <w:lvlJc w:val="left"/>
      <w:pPr>
        <w:ind w:left="1395" w:hanging="361"/>
      </w:pPr>
      <w:rPr>
        <w:rFonts w:hint="default"/>
        <w:lang w:val="en-US" w:eastAsia="en-US" w:bidi="ar-SA"/>
      </w:rPr>
    </w:lvl>
    <w:lvl w:ilvl="2" w:tplc="AD82F448">
      <w:numFmt w:val="bullet"/>
      <w:lvlText w:val="•"/>
      <w:lvlJc w:val="left"/>
      <w:pPr>
        <w:ind w:left="1971" w:hanging="361"/>
      </w:pPr>
      <w:rPr>
        <w:rFonts w:hint="default"/>
        <w:lang w:val="en-US" w:eastAsia="en-US" w:bidi="ar-SA"/>
      </w:rPr>
    </w:lvl>
    <w:lvl w:ilvl="3" w:tplc="285216BE">
      <w:numFmt w:val="bullet"/>
      <w:lvlText w:val="•"/>
      <w:lvlJc w:val="left"/>
      <w:pPr>
        <w:ind w:left="2547" w:hanging="361"/>
      </w:pPr>
      <w:rPr>
        <w:rFonts w:hint="default"/>
        <w:lang w:val="en-US" w:eastAsia="en-US" w:bidi="ar-SA"/>
      </w:rPr>
    </w:lvl>
    <w:lvl w:ilvl="4" w:tplc="BAE44DEA">
      <w:numFmt w:val="bullet"/>
      <w:lvlText w:val="•"/>
      <w:lvlJc w:val="left"/>
      <w:pPr>
        <w:ind w:left="3123" w:hanging="361"/>
      </w:pPr>
      <w:rPr>
        <w:rFonts w:hint="default"/>
        <w:lang w:val="en-US" w:eastAsia="en-US" w:bidi="ar-SA"/>
      </w:rPr>
    </w:lvl>
    <w:lvl w:ilvl="5" w:tplc="8BDA9756">
      <w:numFmt w:val="bullet"/>
      <w:lvlText w:val="•"/>
      <w:lvlJc w:val="left"/>
      <w:pPr>
        <w:ind w:left="3699" w:hanging="361"/>
      </w:pPr>
      <w:rPr>
        <w:rFonts w:hint="default"/>
        <w:lang w:val="en-US" w:eastAsia="en-US" w:bidi="ar-SA"/>
      </w:rPr>
    </w:lvl>
    <w:lvl w:ilvl="6" w:tplc="5254B25A">
      <w:numFmt w:val="bullet"/>
      <w:lvlText w:val="•"/>
      <w:lvlJc w:val="left"/>
      <w:pPr>
        <w:ind w:left="4274" w:hanging="361"/>
      </w:pPr>
      <w:rPr>
        <w:rFonts w:hint="default"/>
        <w:lang w:val="en-US" w:eastAsia="en-US" w:bidi="ar-SA"/>
      </w:rPr>
    </w:lvl>
    <w:lvl w:ilvl="7" w:tplc="C772F10E">
      <w:numFmt w:val="bullet"/>
      <w:lvlText w:val="•"/>
      <w:lvlJc w:val="left"/>
      <w:pPr>
        <w:ind w:left="4850" w:hanging="361"/>
      </w:pPr>
      <w:rPr>
        <w:rFonts w:hint="default"/>
        <w:lang w:val="en-US" w:eastAsia="en-US" w:bidi="ar-SA"/>
      </w:rPr>
    </w:lvl>
    <w:lvl w:ilvl="8" w:tplc="6D1AF164">
      <w:numFmt w:val="bullet"/>
      <w:lvlText w:val="•"/>
      <w:lvlJc w:val="left"/>
      <w:pPr>
        <w:ind w:left="5426" w:hanging="361"/>
      </w:pPr>
      <w:rPr>
        <w:rFonts w:hint="default"/>
        <w:lang w:val="en-US" w:eastAsia="en-US" w:bidi="ar-SA"/>
      </w:rPr>
    </w:lvl>
  </w:abstractNum>
  <w:abstractNum w:abstractNumId="1" w15:restartNumberingAfterBreak="0">
    <w:nsid w:val="113716CE"/>
    <w:multiLevelType w:val="hybridMultilevel"/>
    <w:tmpl w:val="2A44C56C"/>
    <w:lvl w:ilvl="0" w:tplc="54E0A980">
      <w:numFmt w:val="bullet"/>
      <w:lvlText w:val="●"/>
      <w:lvlJc w:val="left"/>
      <w:pPr>
        <w:ind w:left="827" w:hanging="361"/>
      </w:pPr>
      <w:rPr>
        <w:rFonts w:ascii="Arial" w:eastAsia="Arial" w:hAnsi="Arial" w:cs="Arial" w:hint="default"/>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858"/>
    <w:multiLevelType w:val="hybridMultilevel"/>
    <w:tmpl w:val="295C3292"/>
    <w:lvl w:ilvl="0" w:tplc="54E0A980">
      <w:numFmt w:val="bullet"/>
      <w:lvlText w:val="●"/>
      <w:lvlJc w:val="left"/>
      <w:pPr>
        <w:ind w:left="827" w:hanging="361"/>
      </w:pPr>
      <w:rPr>
        <w:rFonts w:ascii="Arial" w:eastAsia="Arial" w:hAnsi="Arial" w:cs="Arial" w:hint="default"/>
        <w:w w:val="100"/>
        <w:sz w:val="22"/>
        <w:szCs w:val="22"/>
        <w:lang w:val="en-US" w:eastAsia="en-US" w:bidi="ar-SA"/>
      </w:rPr>
    </w:lvl>
    <w:lvl w:ilvl="1" w:tplc="16F8AC58">
      <w:numFmt w:val="bullet"/>
      <w:lvlText w:val="•"/>
      <w:lvlJc w:val="left"/>
      <w:pPr>
        <w:ind w:left="1395" w:hanging="361"/>
      </w:pPr>
      <w:rPr>
        <w:rFonts w:hint="default"/>
        <w:lang w:val="en-US" w:eastAsia="en-US" w:bidi="ar-SA"/>
      </w:rPr>
    </w:lvl>
    <w:lvl w:ilvl="2" w:tplc="512A4CEA">
      <w:numFmt w:val="bullet"/>
      <w:lvlText w:val="•"/>
      <w:lvlJc w:val="left"/>
      <w:pPr>
        <w:ind w:left="1971" w:hanging="361"/>
      </w:pPr>
      <w:rPr>
        <w:rFonts w:hint="default"/>
        <w:lang w:val="en-US" w:eastAsia="en-US" w:bidi="ar-SA"/>
      </w:rPr>
    </w:lvl>
    <w:lvl w:ilvl="3" w:tplc="1960E16E">
      <w:numFmt w:val="bullet"/>
      <w:lvlText w:val="•"/>
      <w:lvlJc w:val="left"/>
      <w:pPr>
        <w:ind w:left="2547" w:hanging="361"/>
      </w:pPr>
      <w:rPr>
        <w:rFonts w:hint="default"/>
        <w:lang w:val="en-US" w:eastAsia="en-US" w:bidi="ar-SA"/>
      </w:rPr>
    </w:lvl>
    <w:lvl w:ilvl="4" w:tplc="D414BAA6">
      <w:numFmt w:val="bullet"/>
      <w:lvlText w:val="•"/>
      <w:lvlJc w:val="left"/>
      <w:pPr>
        <w:ind w:left="3123" w:hanging="361"/>
      </w:pPr>
      <w:rPr>
        <w:rFonts w:hint="default"/>
        <w:lang w:val="en-US" w:eastAsia="en-US" w:bidi="ar-SA"/>
      </w:rPr>
    </w:lvl>
    <w:lvl w:ilvl="5" w:tplc="F20EBA7E">
      <w:numFmt w:val="bullet"/>
      <w:lvlText w:val="•"/>
      <w:lvlJc w:val="left"/>
      <w:pPr>
        <w:ind w:left="3699" w:hanging="361"/>
      </w:pPr>
      <w:rPr>
        <w:rFonts w:hint="default"/>
        <w:lang w:val="en-US" w:eastAsia="en-US" w:bidi="ar-SA"/>
      </w:rPr>
    </w:lvl>
    <w:lvl w:ilvl="6" w:tplc="ECB457C2">
      <w:numFmt w:val="bullet"/>
      <w:lvlText w:val="•"/>
      <w:lvlJc w:val="left"/>
      <w:pPr>
        <w:ind w:left="4274" w:hanging="361"/>
      </w:pPr>
      <w:rPr>
        <w:rFonts w:hint="default"/>
        <w:lang w:val="en-US" w:eastAsia="en-US" w:bidi="ar-SA"/>
      </w:rPr>
    </w:lvl>
    <w:lvl w:ilvl="7" w:tplc="1E24C0A4">
      <w:numFmt w:val="bullet"/>
      <w:lvlText w:val="•"/>
      <w:lvlJc w:val="left"/>
      <w:pPr>
        <w:ind w:left="4850" w:hanging="361"/>
      </w:pPr>
      <w:rPr>
        <w:rFonts w:hint="default"/>
        <w:lang w:val="en-US" w:eastAsia="en-US" w:bidi="ar-SA"/>
      </w:rPr>
    </w:lvl>
    <w:lvl w:ilvl="8" w:tplc="064AAEBE">
      <w:numFmt w:val="bullet"/>
      <w:lvlText w:val="•"/>
      <w:lvlJc w:val="left"/>
      <w:pPr>
        <w:ind w:left="5426" w:hanging="361"/>
      </w:pPr>
      <w:rPr>
        <w:rFonts w:hint="default"/>
        <w:lang w:val="en-US" w:eastAsia="en-US" w:bidi="ar-SA"/>
      </w:rPr>
    </w:lvl>
  </w:abstractNum>
  <w:abstractNum w:abstractNumId="3" w15:restartNumberingAfterBreak="0">
    <w:nsid w:val="1BBA6CC9"/>
    <w:multiLevelType w:val="hybridMultilevel"/>
    <w:tmpl w:val="65804D10"/>
    <w:lvl w:ilvl="0" w:tplc="C528470A">
      <w:numFmt w:val="bullet"/>
      <w:lvlText w:val="●"/>
      <w:lvlJc w:val="left"/>
      <w:pPr>
        <w:ind w:left="827" w:hanging="361"/>
      </w:pPr>
      <w:rPr>
        <w:rFonts w:ascii="Arial" w:eastAsia="Arial" w:hAnsi="Arial" w:cs="Arial" w:hint="default"/>
        <w:w w:val="100"/>
        <w:sz w:val="22"/>
        <w:szCs w:val="22"/>
        <w:lang w:val="en-US" w:eastAsia="en-US" w:bidi="ar-SA"/>
      </w:rPr>
    </w:lvl>
    <w:lvl w:ilvl="1" w:tplc="982EC1F8">
      <w:numFmt w:val="bullet"/>
      <w:lvlText w:val="•"/>
      <w:lvlJc w:val="left"/>
      <w:pPr>
        <w:ind w:left="1395" w:hanging="361"/>
      </w:pPr>
      <w:rPr>
        <w:rFonts w:hint="default"/>
        <w:lang w:val="en-US" w:eastAsia="en-US" w:bidi="ar-SA"/>
      </w:rPr>
    </w:lvl>
    <w:lvl w:ilvl="2" w:tplc="B8AC395A">
      <w:numFmt w:val="bullet"/>
      <w:lvlText w:val="•"/>
      <w:lvlJc w:val="left"/>
      <w:pPr>
        <w:ind w:left="1971" w:hanging="361"/>
      </w:pPr>
      <w:rPr>
        <w:rFonts w:hint="default"/>
        <w:lang w:val="en-US" w:eastAsia="en-US" w:bidi="ar-SA"/>
      </w:rPr>
    </w:lvl>
    <w:lvl w:ilvl="3" w:tplc="8BC0D454">
      <w:numFmt w:val="bullet"/>
      <w:lvlText w:val="•"/>
      <w:lvlJc w:val="left"/>
      <w:pPr>
        <w:ind w:left="2547" w:hanging="361"/>
      </w:pPr>
      <w:rPr>
        <w:rFonts w:hint="default"/>
        <w:lang w:val="en-US" w:eastAsia="en-US" w:bidi="ar-SA"/>
      </w:rPr>
    </w:lvl>
    <w:lvl w:ilvl="4" w:tplc="3F70F874">
      <w:numFmt w:val="bullet"/>
      <w:lvlText w:val="•"/>
      <w:lvlJc w:val="left"/>
      <w:pPr>
        <w:ind w:left="3123" w:hanging="361"/>
      </w:pPr>
      <w:rPr>
        <w:rFonts w:hint="default"/>
        <w:lang w:val="en-US" w:eastAsia="en-US" w:bidi="ar-SA"/>
      </w:rPr>
    </w:lvl>
    <w:lvl w:ilvl="5" w:tplc="221E43D6">
      <w:numFmt w:val="bullet"/>
      <w:lvlText w:val="•"/>
      <w:lvlJc w:val="left"/>
      <w:pPr>
        <w:ind w:left="3699" w:hanging="361"/>
      </w:pPr>
      <w:rPr>
        <w:rFonts w:hint="default"/>
        <w:lang w:val="en-US" w:eastAsia="en-US" w:bidi="ar-SA"/>
      </w:rPr>
    </w:lvl>
    <w:lvl w:ilvl="6" w:tplc="D3E455A8">
      <w:numFmt w:val="bullet"/>
      <w:lvlText w:val="•"/>
      <w:lvlJc w:val="left"/>
      <w:pPr>
        <w:ind w:left="4274" w:hanging="361"/>
      </w:pPr>
      <w:rPr>
        <w:rFonts w:hint="default"/>
        <w:lang w:val="en-US" w:eastAsia="en-US" w:bidi="ar-SA"/>
      </w:rPr>
    </w:lvl>
    <w:lvl w:ilvl="7" w:tplc="690A2F84">
      <w:numFmt w:val="bullet"/>
      <w:lvlText w:val="•"/>
      <w:lvlJc w:val="left"/>
      <w:pPr>
        <w:ind w:left="4850" w:hanging="361"/>
      </w:pPr>
      <w:rPr>
        <w:rFonts w:hint="default"/>
        <w:lang w:val="en-US" w:eastAsia="en-US" w:bidi="ar-SA"/>
      </w:rPr>
    </w:lvl>
    <w:lvl w:ilvl="8" w:tplc="5C242798">
      <w:numFmt w:val="bullet"/>
      <w:lvlText w:val="•"/>
      <w:lvlJc w:val="left"/>
      <w:pPr>
        <w:ind w:left="5426" w:hanging="361"/>
      </w:pPr>
      <w:rPr>
        <w:rFonts w:hint="default"/>
        <w:lang w:val="en-US" w:eastAsia="en-US" w:bidi="ar-SA"/>
      </w:rPr>
    </w:lvl>
  </w:abstractNum>
  <w:abstractNum w:abstractNumId="4" w15:restartNumberingAfterBreak="0">
    <w:nsid w:val="3B626B28"/>
    <w:multiLevelType w:val="hybridMultilevel"/>
    <w:tmpl w:val="3592A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22ACB"/>
    <w:multiLevelType w:val="hybridMultilevel"/>
    <w:tmpl w:val="D6FCF9DA"/>
    <w:lvl w:ilvl="0" w:tplc="A962C06A">
      <w:numFmt w:val="bullet"/>
      <w:lvlText w:val="●"/>
      <w:lvlJc w:val="left"/>
      <w:pPr>
        <w:ind w:left="827" w:hanging="361"/>
      </w:pPr>
      <w:rPr>
        <w:rFonts w:ascii="Calibri" w:eastAsia="Calibri" w:hAnsi="Calibri" w:cs="Calibri" w:hint="default"/>
        <w:b w:val="0"/>
        <w:bCs w:val="0"/>
        <w:i w:val="0"/>
        <w:iCs w:val="0"/>
        <w:w w:val="100"/>
        <w:sz w:val="22"/>
        <w:szCs w:val="22"/>
      </w:rPr>
    </w:lvl>
    <w:lvl w:ilvl="1" w:tplc="25B4DE68">
      <w:numFmt w:val="bullet"/>
      <w:lvlText w:val="•"/>
      <w:lvlJc w:val="left"/>
      <w:pPr>
        <w:ind w:left="1368" w:hanging="361"/>
      </w:pPr>
      <w:rPr>
        <w:rFonts w:hint="default"/>
      </w:rPr>
    </w:lvl>
    <w:lvl w:ilvl="2" w:tplc="CFB85B00">
      <w:numFmt w:val="bullet"/>
      <w:lvlText w:val="•"/>
      <w:lvlJc w:val="left"/>
      <w:pPr>
        <w:ind w:left="1917" w:hanging="361"/>
      </w:pPr>
      <w:rPr>
        <w:rFonts w:hint="default"/>
      </w:rPr>
    </w:lvl>
    <w:lvl w:ilvl="3" w:tplc="654ECD64">
      <w:numFmt w:val="bullet"/>
      <w:lvlText w:val="•"/>
      <w:lvlJc w:val="left"/>
      <w:pPr>
        <w:ind w:left="2466" w:hanging="361"/>
      </w:pPr>
      <w:rPr>
        <w:rFonts w:hint="default"/>
      </w:rPr>
    </w:lvl>
    <w:lvl w:ilvl="4" w:tplc="1C4E66D2">
      <w:numFmt w:val="bullet"/>
      <w:lvlText w:val="•"/>
      <w:lvlJc w:val="left"/>
      <w:pPr>
        <w:ind w:left="3015" w:hanging="361"/>
      </w:pPr>
      <w:rPr>
        <w:rFonts w:hint="default"/>
      </w:rPr>
    </w:lvl>
    <w:lvl w:ilvl="5" w:tplc="0226A722">
      <w:numFmt w:val="bullet"/>
      <w:lvlText w:val="•"/>
      <w:lvlJc w:val="left"/>
      <w:pPr>
        <w:ind w:left="3564" w:hanging="361"/>
      </w:pPr>
      <w:rPr>
        <w:rFonts w:hint="default"/>
      </w:rPr>
    </w:lvl>
    <w:lvl w:ilvl="6" w:tplc="56209322">
      <w:numFmt w:val="bullet"/>
      <w:lvlText w:val="•"/>
      <w:lvlJc w:val="left"/>
      <w:pPr>
        <w:ind w:left="4113" w:hanging="361"/>
      </w:pPr>
      <w:rPr>
        <w:rFonts w:hint="default"/>
      </w:rPr>
    </w:lvl>
    <w:lvl w:ilvl="7" w:tplc="FA7CF9E2">
      <w:numFmt w:val="bullet"/>
      <w:lvlText w:val="•"/>
      <w:lvlJc w:val="left"/>
      <w:pPr>
        <w:ind w:left="4662" w:hanging="361"/>
      </w:pPr>
      <w:rPr>
        <w:rFonts w:hint="default"/>
      </w:rPr>
    </w:lvl>
    <w:lvl w:ilvl="8" w:tplc="06683BAA">
      <w:numFmt w:val="bullet"/>
      <w:lvlText w:val="•"/>
      <w:lvlJc w:val="left"/>
      <w:pPr>
        <w:ind w:left="5211" w:hanging="361"/>
      </w:pPr>
      <w:rPr>
        <w:rFonts w:hint="default"/>
      </w:rPr>
    </w:lvl>
  </w:abstractNum>
  <w:abstractNum w:abstractNumId="6" w15:restartNumberingAfterBreak="0">
    <w:nsid w:val="485940E8"/>
    <w:multiLevelType w:val="hybridMultilevel"/>
    <w:tmpl w:val="128E2F2A"/>
    <w:lvl w:ilvl="0" w:tplc="C6C4F842">
      <w:start w:val="1"/>
      <w:numFmt w:val="bullet"/>
      <w:lvlText w:val=""/>
      <w:lvlJc w:val="left"/>
      <w:pPr>
        <w:ind w:left="720" w:hanging="360"/>
      </w:pPr>
      <w:rPr>
        <w:rFonts w:ascii="Symbol" w:hAnsi="Symbol" w:hint="default"/>
        <w:color w:val="0D6CB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0D6B58"/>
    <w:multiLevelType w:val="hybridMultilevel"/>
    <w:tmpl w:val="EE76BC20"/>
    <w:lvl w:ilvl="0" w:tplc="54E0A980">
      <w:numFmt w:val="bullet"/>
      <w:lvlText w:val="●"/>
      <w:lvlJc w:val="left"/>
      <w:pPr>
        <w:ind w:left="827" w:hanging="361"/>
      </w:pPr>
      <w:rPr>
        <w:rFonts w:ascii="Arial" w:eastAsia="Arial" w:hAnsi="Arial" w:cs="Arial" w:hint="default"/>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41D58"/>
    <w:multiLevelType w:val="hybridMultilevel"/>
    <w:tmpl w:val="050C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594821"/>
    <w:multiLevelType w:val="hybridMultilevel"/>
    <w:tmpl w:val="A8C03FEA"/>
    <w:lvl w:ilvl="0" w:tplc="C6C4F842">
      <w:start w:val="1"/>
      <w:numFmt w:val="bullet"/>
      <w:lvlText w:val=""/>
      <w:lvlJc w:val="left"/>
      <w:pPr>
        <w:ind w:left="720" w:hanging="360"/>
      </w:pPr>
      <w:rPr>
        <w:rFonts w:ascii="Symbol" w:hAnsi="Symbol" w:hint="default"/>
        <w:color w:val="0D6CB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4573255">
    <w:abstractNumId w:val="6"/>
  </w:num>
  <w:num w:numId="2" w16cid:durableId="974601469">
    <w:abstractNumId w:val="8"/>
  </w:num>
  <w:num w:numId="3" w16cid:durableId="836119281">
    <w:abstractNumId w:val="4"/>
  </w:num>
  <w:num w:numId="4" w16cid:durableId="2046976266">
    <w:abstractNumId w:val="9"/>
  </w:num>
  <w:num w:numId="5" w16cid:durableId="1857841286">
    <w:abstractNumId w:val="3"/>
  </w:num>
  <w:num w:numId="6" w16cid:durableId="428933283">
    <w:abstractNumId w:val="2"/>
  </w:num>
  <w:num w:numId="7" w16cid:durableId="1509557740">
    <w:abstractNumId w:val="0"/>
  </w:num>
  <w:num w:numId="8" w16cid:durableId="1669552970">
    <w:abstractNumId w:val="5"/>
  </w:num>
  <w:num w:numId="9" w16cid:durableId="1889562309">
    <w:abstractNumId w:val="7"/>
  </w:num>
  <w:num w:numId="10" w16cid:durableId="212548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10E"/>
    <w:rsid w:val="00001F68"/>
    <w:rsid w:val="00013E91"/>
    <w:rsid w:val="000143CA"/>
    <w:rsid w:val="00015BDE"/>
    <w:rsid w:val="000162CE"/>
    <w:rsid w:val="00027771"/>
    <w:rsid w:val="000310F5"/>
    <w:rsid w:val="00031768"/>
    <w:rsid w:val="00040603"/>
    <w:rsid w:val="00040A45"/>
    <w:rsid w:val="0004228C"/>
    <w:rsid w:val="000533A5"/>
    <w:rsid w:val="00053E70"/>
    <w:rsid w:val="00077390"/>
    <w:rsid w:val="0009509A"/>
    <w:rsid w:val="000957EC"/>
    <w:rsid w:val="000B604B"/>
    <w:rsid w:val="000C31C0"/>
    <w:rsid w:val="000C3DD3"/>
    <w:rsid w:val="000C57CC"/>
    <w:rsid w:val="000E240E"/>
    <w:rsid w:val="000E3735"/>
    <w:rsid w:val="000F718D"/>
    <w:rsid w:val="0011715A"/>
    <w:rsid w:val="0012010E"/>
    <w:rsid w:val="001536B5"/>
    <w:rsid w:val="001613DD"/>
    <w:rsid w:val="00162DE6"/>
    <w:rsid w:val="0017142C"/>
    <w:rsid w:val="00176818"/>
    <w:rsid w:val="00183A64"/>
    <w:rsid w:val="001B6758"/>
    <w:rsid w:val="001B6ECE"/>
    <w:rsid w:val="001F0122"/>
    <w:rsid w:val="001F5527"/>
    <w:rsid w:val="00200257"/>
    <w:rsid w:val="00201059"/>
    <w:rsid w:val="00206C36"/>
    <w:rsid w:val="002372DD"/>
    <w:rsid w:val="00243F9F"/>
    <w:rsid w:val="00247E13"/>
    <w:rsid w:val="00252E17"/>
    <w:rsid w:val="00254982"/>
    <w:rsid w:val="00255B99"/>
    <w:rsid w:val="00264F7C"/>
    <w:rsid w:val="00273F30"/>
    <w:rsid w:val="00275FC7"/>
    <w:rsid w:val="00283865"/>
    <w:rsid w:val="00286D4D"/>
    <w:rsid w:val="0029615C"/>
    <w:rsid w:val="002A0942"/>
    <w:rsid w:val="002C5A16"/>
    <w:rsid w:val="002F14AA"/>
    <w:rsid w:val="002F5A40"/>
    <w:rsid w:val="00300E58"/>
    <w:rsid w:val="0030226D"/>
    <w:rsid w:val="0030440D"/>
    <w:rsid w:val="0032496B"/>
    <w:rsid w:val="003355FA"/>
    <w:rsid w:val="00360D7F"/>
    <w:rsid w:val="003748B1"/>
    <w:rsid w:val="00376106"/>
    <w:rsid w:val="00381429"/>
    <w:rsid w:val="00392647"/>
    <w:rsid w:val="003937AC"/>
    <w:rsid w:val="00397549"/>
    <w:rsid w:val="003A3534"/>
    <w:rsid w:val="003A4382"/>
    <w:rsid w:val="003A5F7D"/>
    <w:rsid w:val="003B7D79"/>
    <w:rsid w:val="003B7E0E"/>
    <w:rsid w:val="003C3A26"/>
    <w:rsid w:val="003D3859"/>
    <w:rsid w:val="003D3A67"/>
    <w:rsid w:val="003D7DFE"/>
    <w:rsid w:val="003E11C6"/>
    <w:rsid w:val="003E57AB"/>
    <w:rsid w:val="003E5DEC"/>
    <w:rsid w:val="003F183D"/>
    <w:rsid w:val="003F1B65"/>
    <w:rsid w:val="004115BA"/>
    <w:rsid w:val="0043302E"/>
    <w:rsid w:val="004410F4"/>
    <w:rsid w:val="00445945"/>
    <w:rsid w:val="00447C43"/>
    <w:rsid w:val="0045582A"/>
    <w:rsid w:val="00455AA4"/>
    <w:rsid w:val="004866E4"/>
    <w:rsid w:val="004952E6"/>
    <w:rsid w:val="00497C6B"/>
    <w:rsid w:val="004A0347"/>
    <w:rsid w:val="004A5FBF"/>
    <w:rsid w:val="004B615E"/>
    <w:rsid w:val="004C0D8A"/>
    <w:rsid w:val="004E2201"/>
    <w:rsid w:val="004F7AD2"/>
    <w:rsid w:val="00506F6C"/>
    <w:rsid w:val="005104CB"/>
    <w:rsid w:val="00541956"/>
    <w:rsid w:val="00555CA1"/>
    <w:rsid w:val="00563FB6"/>
    <w:rsid w:val="0056599B"/>
    <w:rsid w:val="00570DF2"/>
    <w:rsid w:val="005800E8"/>
    <w:rsid w:val="00584542"/>
    <w:rsid w:val="005A51A1"/>
    <w:rsid w:val="005A608B"/>
    <w:rsid w:val="005A62B8"/>
    <w:rsid w:val="005B534A"/>
    <w:rsid w:val="005C028A"/>
    <w:rsid w:val="005C4EA2"/>
    <w:rsid w:val="005D56D6"/>
    <w:rsid w:val="005D7831"/>
    <w:rsid w:val="005E3E83"/>
    <w:rsid w:val="005E5424"/>
    <w:rsid w:val="005F654B"/>
    <w:rsid w:val="006079BE"/>
    <w:rsid w:val="00607C76"/>
    <w:rsid w:val="0061734C"/>
    <w:rsid w:val="00630A6D"/>
    <w:rsid w:val="00633945"/>
    <w:rsid w:val="00640370"/>
    <w:rsid w:val="00652AF3"/>
    <w:rsid w:val="0065610F"/>
    <w:rsid w:val="006623B3"/>
    <w:rsid w:val="00664563"/>
    <w:rsid w:val="0067213D"/>
    <w:rsid w:val="0068032A"/>
    <w:rsid w:val="0068353F"/>
    <w:rsid w:val="00685C22"/>
    <w:rsid w:val="006867AC"/>
    <w:rsid w:val="00687B08"/>
    <w:rsid w:val="00687B2F"/>
    <w:rsid w:val="006A5E8D"/>
    <w:rsid w:val="006B6161"/>
    <w:rsid w:val="006D4142"/>
    <w:rsid w:val="006E3535"/>
    <w:rsid w:val="006E7602"/>
    <w:rsid w:val="006F08CA"/>
    <w:rsid w:val="006F494E"/>
    <w:rsid w:val="00700D5F"/>
    <w:rsid w:val="00704E62"/>
    <w:rsid w:val="007059DB"/>
    <w:rsid w:val="0070731B"/>
    <w:rsid w:val="0071607A"/>
    <w:rsid w:val="007205F0"/>
    <w:rsid w:val="00745152"/>
    <w:rsid w:val="00752439"/>
    <w:rsid w:val="007601B7"/>
    <w:rsid w:val="00767842"/>
    <w:rsid w:val="00770CE4"/>
    <w:rsid w:val="007753DB"/>
    <w:rsid w:val="007768FB"/>
    <w:rsid w:val="00781F1F"/>
    <w:rsid w:val="007A16EA"/>
    <w:rsid w:val="007A452C"/>
    <w:rsid w:val="007B2B4B"/>
    <w:rsid w:val="007B6080"/>
    <w:rsid w:val="007C344D"/>
    <w:rsid w:val="007D5E3A"/>
    <w:rsid w:val="007E6D24"/>
    <w:rsid w:val="007F1121"/>
    <w:rsid w:val="0081770F"/>
    <w:rsid w:val="00831A1C"/>
    <w:rsid w:val="00842107"/>
    <w:rsid w:val="0084469A"/>
    <w:rsid w:val="00882D2D"/>
    <w:rsid w:val="00882FD1"/>
    <w:rsid w:val="00884A80"/>
    <w:rsid w:val="00885EA3"/>
    <w:rsid w:val="00894D61"/>
    <w:rsid w:val="008953F8"/>
    <w:rsid w:val="00897C68"/>
    <w:rsid w:val="008A1047"/>
    <w:rsid w:val="008A2342"/>
    <w:rsid w:val="008B0B97"/>
    <w:rsid w:val="008B2DEF"/>
    <w:rsid w:val="008E5C31"/>
    <w:rsid w:val="008E6947"/>
    <w:rsid w:val="008E6B5B"/>
    <w:rsid w:val="008F0145"/>
    <w:rsid w:val="008F1ECC"/>
    <w:rsid w:val="008F69D9"/>
    <w:rsid w:val="00902435"/>
    <w:rsid w:val="00902FDC"/>
    <w:rsid w:val="0090587E"/>
    <w:rsid w:val="00914ED0"/>
    <w:rsid w:val="00927763"/>
    <w:rsid w:val="00933008"/>
    <w:rsid w:val="00943E42"/>
    <w:rsid w:val="00952160"/>
    <w:rsid w:val="00954A32"/>
    <w:rsid w:val="00960158"/>
    <w:rsid w:val="0096096B"/>
    <w:rsid w:val="00962673"/>
    <w:rsid w:val="009719B8"/>
    <w:rsid w:val="009760DE"/>
    <w:rsid w:val="009805FC"/>
    <w:rsid w:val="00985D1A"/>
    <w:rsid w:val="00997C78"/>
    <w:rsid w:val="009A7C56"/>
    <w:rsid w:val="009A7CC7"/>
    <w:rsid w:val="009C56C5"/>
    <w:rsid w:val="009D289D"/>
    <w:rsid w:val="009F0A83"/>
    <w:rsid w:val="009F29DF"/>
    <w:rsid w:val="00A009A7"/>
    <w:rsid w:val="00A04DCC"/>
    <w:rsid w:val="00A122C4"/>
    <w:rsid w:val="00A13E6C"/>
    <w:rsid w:val="00A15583"/>
    <w:rsid w:val="00A167B2"/>
    <w:rsid w:val="00A17FBD"/>
    <w:rsid w:val="00A23BFD"/>
    <w:rsid w:val="00A241C5"/>
    <w:rsid w:val="00A2679E"/>
    <w:rsid w:val="00A33A36"/>
    <w:rsid w:val="00A42A38"/>
    <w:rsid w:val="00A5694B"/>
    <w:rsid w:val="00A56EB7"/>
    <w:rsid w:val="00A57D5E"/>
    <w:rsid w:val="00A60075"/>
    <w:rsid w:val="00A63F6D"/>
    <w:rsid w:val="00A87F74"/>
    <w:rsid w:val="00A9744F"/>
    <w:rsid w:val="00AB212D"/>
    <w:rsid w:val="00AB712B"/>
    <w:rsid w:val="00AE1C90"/>
    <w:rsid w:val="00AE2ACA"/>
    <w:rsid w:val="00AF0EFA"/>
    <w:rsid w:val="00AF567A"/>
    <w:rsid w:val="00AF6F05"/>
    <w:rsid w:val="00B0595A"/>
    <w:rsid w:val="00B15814"/>
    <w:rsid w:val="00B16C90"/>
    <w:rsid w:val="00B22AD1"/>
    <w:rsid w:val="00B32132"/>
    <w:rsid w:val="00B47A19"/>
    <w:rsid w:val="00B53B1E"/>
    <w:rsid w:val="00B56D5F"/>
    <w:rsid w:val="00B577CE"/>
    <w:rsid w:val="00B92374"/>
    <w:rsid w:val="00BA0273"/>
    <w:rsid w:val="00BD3AF5"/>
    <w:rsid w:val="00C03543"/>
    <w:rsid w:val="00C051F9"/>
    <w:rsid w:val="00C116F7"/>
    <w:rsid w:val="00C3026F"/>
    <w:rsid w:val="00C3157B"/>
    <w:rsid w:val="00C375AA"/>
    <w:rsid w:val="00C44C8E"/>
    <w:rsid w:val="00C60FB1"/>
    <w:rsid w:val="00C635A3"/>
    <w:rsid w:val="00C67394"/>
    <w:rsid w:val="00C72F46"/>
    <w:rsid w:val="00C752FE"/>
    <w:rsid w:val="00C81240"/>
    <w:rsid w:val="00C81D22"/>
    <w:rsid w:val="00C95947"/>
    <w:rsid w:val="00CA1DC4"/>
    <w:rsid w:val="00CA6B8D"/>
    <w:rsid w:val="00CB0DD2"/>
    <w:rsid w:val="00CB35CB"/>
    <w:rsid w:val="00CC1253"/>
    <w:rsid w:val="00CC21A7"/>
    <w:rsid w:val="00CD5729"/>
    <w:rsid w:val="00CE56D7"/>
    <w:rsid w:val="00CE5E2D"/>
    <w:rsid w:val="00CF24CE"/>
    <w:rsid w:val="00CF4451"/>
    <w:rsid w:val="00D1452B"/>
    <w:rsid w:val="00D21616"/>
    <w:rsid w:val="00D3081E"/>
    <w:rsid w:val="00D35A76"/>
    <w:rsid w:val="00D4044B"/>
    <w:rsid w:val="00D958AD"/>
    <w:rsid w:val="00DA2E76"/>
    <w:rsid w:val="00DA7ED4"/>
    <w:rsid w:val="00DB32FE"/>
    <w:rsid w:val="00DC1832"/>
    <w:rsid w:val="00DC1A9B"/>
    <w:rsid w:val="00DC77E9"/>
    <w:rsid w:val="00DD021C"/>
    <w:rsid w:val="00DF108D"/>
    <w:rsid w:val="00DF2606"/>
    <w:rsid w:val="00E00104"/>
    <w:rsid w:val="00E16E45"/>
    <w:rsid w:val="00E213ED"/>
    <w:rsid w:val="00E23F0B"/>
    <w:rsid w:val="00E25304"/>
    <w:rsid w:val="00E31D30"/>
    <w:rsid w:val="00E40C37"/>
    <w:rsid w:val="00E4295B"/>
    <w:rsid w:val="00E567DA"/>
    <w:rsid w:val="00E64E67"/>
    <w:rsid w:val="00E76DC5"/>
    <w:rsid w:val="00E77583"/>
    <w:rsid w:val="00E77C2C"/>
    <w:rsid w:val="00E83EB7"/>
    <w:rsid w:val="00E912E8"/>
    <w:rsid w:val="00E9629B"/>
    <w:rsid w:val="00EA2503"/>
    <w:rsid w:val="00EA3112"/>
    <w:rsid w:val="00EA35C2"/>
    <w:rsid w:val="00EA6BD7"/>
    <w:rsid w:val="00EC0D72"/>
    <w:rsid w:val="00EC3CDD"/>
    <w:rsid w:val="00ED3BF0"/>
    <w:rsid w:val="00ED574B"/>
    <w:rsid w:val="00F03ECE"/>
    <w:rsid w:val="00F10E4B"/>
    <w:rsid w:val="00F118F6"/>
    <w:rsid w:val="00F13123"/>
    <w:rsid w:val="00F15595"/>
    <w:rsid w:val="00F21C9C"/>
    <w:rsid w:val="00F23C94"/>
    <w:rsid w:val="00F27239"/>
    <w:rsid w:val="00F34C0F"/>
    <w:rsid w:val="00F424E8"/>
    <w:rsid w:val="00F45713"/>
    <w:rsid w:val="00F53870"/>
    <w:rsid w:val="00F54C32"/>
    <w:rsid w:val="00F55926"/>
    <w:rsid w:val="00F62CA8"/>
    <w:rsid w:val="00F66DBA"/>
    <w:rsid w:val="00F710B6"/>
    <w:rsid w:val="00F73ADD"/>
    <w:rsid w:val="00F82841"/>
    <w:rsid w:val="00F8729E"/>
    <w:rsid w:val="00FB25C2"/>
    <w:rsid w:val="00FB2DEC"/>
    <w:rsid w:val="00FB7DEB"/>
    <w:rsid w:val="00FC75A0"/>
    <w:rsid w:val="00FE22EC"/>
    <w:rsid w:val="00FF7092"/>
    <w:rsid w:val="61258A40"/>
    <w:rsid w:val="6D08E4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5287A"/>
  <w15:chartTrackingRefBased/>
  <w15:docId w15:val="{13FA114C-C02D-4FA1-84C0-6D692D33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EFA"/>
    <w:pPr>
      <w:spacing w:after="200"/>
    </w:pPr>
  </w:style>
  <w:style w:type="paragraph" w:styleId="Heading1">
    <w:name w:val="heading 1"/>
    <w:basedOn w:val="Normal"/>
    <w:next w:val="Normal"/>
    <w:link w:val="Heading1Char"/>
    <w:uiPriority w:val="9"/>
    <w:qFormat/>
    <w:rsid w:val="00255B99"/>
    <w:pPr>
      <w:keepNext/>
      <w:keepLines/>
      <w:pBdr>
        <w:bottom w:val="single" w:sz="12" w:space="1" w:color="F16038" w:themeColor="accent4"/>
      </w:pBdr>
      <w:spacing w:before="480" w:after="240"/>
      <w:outlineLvl w:val="0"/>
    </w:pPr>
    <w:rPr>
      <w:rFonts w:asciiTheme="majorHAnsi" w:eastAsiaTheme="majorEastAsia" w:hAnsiTheme="majorHAnsi" w:cstheme="majorBidi"/>
      <w:caps/>
      <w:color w:val="015692" w:themeColor="accent5"/>
      <w:sz w:val="32"/>
      <w:szCs w:val="32"/>
    </w:rPr>
  </w:style>
  <w:style w:type="paragraph" w:styleId="Heading2">
    <w:name w:val="heading 2"/>
    <w:basedOn w:val="Normal"/>
    <w:next w:val="Normal"/>
    <w:link w:val="Heading2Char"/>
    <w:uiPriority w:val="9"/>
    <w:unhideWhenUsed/>
    <w:qFormat/>
    <w:rsid w:val="00255B99"/>
    <w:pPr>
      <w:spacing w:before="360" w:after="120"/>
      <w:outlineLvl w:val="1"/>
    </w:pPr>
    <w:rPr>
      <w:b/>
      <w:color w:val="F16038" w:themeColor="accent4"/>
      <w:sz w:val="28"/>
      <w:szCs w:val="32"/>
    </w:rPr>
  </w:style>
  <w:style w:type="paragraph" w:styleId="Heading3">
    <w:name w:val="heading 3"/>
    <w:basedOn w:val="Normal"/>
    <w:next w:val="Normal"/>
    <w:link w:val="Heading3Char"/>
    <w:uiPriority w:val="9"/>
    <w:unhideWhenUsed/>
    <w:qFormat/>
    <w:rsid w:val="00255B99"/>
    <w:pPr>
      <w:spacing w:before="240" w:after="240"/>
      <w:outlineLvl w:val="2"/>
    </w:pPr>
    <w:rPr>
      <w:b/>
      <w:bCs/>
      <w:color w:val="000000" w:themeColor="text1"/>
      <w:sz w:val="24"/>
      <w:szCs w:val="28"/>
    </w:rPr>
  </w:style>
  <w:style w:type="paragraph" w:styleId="Heading4">
    <w:name w:val="heading 4"/>
    <w:basedOn w:val="Normal"/>
    <w:next w:val="Normal"/>
    <w:link w:val="Heading4Char"/>
    <w:uiPriority w:val="9"/>
    <w:unhideWhenUsed/>
    <w:qFormat/>
    <w:rsid w:val="00255B99"/>
    <w:pPr>
      <w:spacing w:before="40" w:after="0"/>
      <w:outlineLvl w:val="3"/>
    </w:pPr>
    <w:rPr>
      <w:rFonts w:asciiTheme="majorHAnsi" w:hAnsiTheme="majorHAnsi"/>
      <w:i/>
      <w:color w:val="000000" w:themeColor="text1"/>
      <w:szCs w:val="24"/>
    </w:rPr>
  </w:style>
  <w:style w:type="paragraph" w:styleId="Heading5">
    <w:name w:val="heading 5"/>
    <w:basedOn w:val="Normal"/>
    <w:next w:val="Normal"/>
    <w:link w:val="Heading5Char"/>
    <w:uiPriority w:val="9"/>
    <w:unhideWhenUsed/>
    <w:qFormat/>
    <w:rsid w:val="00027771"/>
    <w:pPr>
      <w:spacing w:before="40" w:after="0"/>
      <w:outlineLvl w:val="4"/>
    </w:pPr>
    <w:rPr>
      <w:rFonts w:asciiTheme="majorHAnsi" w:hAnsiTheme="majorHAnsi"/>
      <w:color w:val="00534D" w:themeColor="accent1" w:themeShade="80"/>
    </w:rPr>
  </w:style>
  <w:style w:type="paragraph" w:styleId="Heading6">
    <w:name w:val="heading 6"/>
    <w:basedOn w:val="Normal"/>
    <w:next w:val="Normal"/>
    <w:link w:val="Heading6Char"/>
    <w:uiPriority w:val="9"/>
    <w:unhideWhenUsed/>
    <w:rsid w:val="00255B99"/>
    <w:pPr>
      <w:keepNext/>
      <w:keepLines/>
      <w:spacing w:before="40" w:after="0"/>
      <w:outlineLvl w:val="5"/>
    </w:pPr>
    <w:rPr>
      <w:rFonts w:asciiTheme="majorHAnsi" w:eastAsiaTheme="majorEastAsia" w:hAnsiTheme="majorHAnsi" w:cstheme="majorBidi"/>
      <w:color w:val="015692" w:themeColor="accent5"/>
    </w:rPr>
  </w:style>
  <w:style w:type="paragraph" w:styleId="Heading7">
    <w:name w:val="heading 7"/>
    <w:basedOn w:val="Normal"/>
    <w:next w:val="Normal"/>
    <w:link w:val="Heading7Char"/>
    <w:uiPriority w:val="9"/>
    <w:semiHidden/>
    <w:unhideWhenUsed/>
    <w:qFormat/>
    <w:rsid w:val="00027771"/>
    <w:pPr>
      <w:keepNext/>
      <w:keepLines/>
      <w:spacing w:before="40" w:after="0"/>
      <w:outlineLvl w:val="6"/>
    </w:pPr>
    <w:rPr>
      <w:rFonts w:asciiTheme="majorHAnsi" w:eastAsiaTheme="majorEastAsia" w:hAnsiTheme="majorHAnsi" w:cstheme="majorBidi"/>
      <w:i/>
      <w:iCs/>
      <w:color w:val="436621"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0E"/>
  </w:style>
  <w:style w:type="paragraph" w:styleId="Footer">
    <w:name w:val="footer"/>
    <w:basedOn w:val="Normal"/>
    <w:link w:val="FooterChar"/>
    <w:uiPriority w:val="99"/>
    <w:unhideWhenUsed/>
    <w:rsid w:val="00120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0E"/>
  </w:style>
  <w:style w:type="character" w:customStyle="1" w:styleId="Heading2Char">
    <w:name w:val="Heading 2 Char"/>
    <w:basedOn w:val="DefaultParagraphFont"/>
    <w:link w:val="Heading2"/>
    <w:uiPriority w:val="9"/>
    <w:rsid w:val="00255B99"/>
    <w:rPr>
      <w:b/>
      <w:color w:val="F16038" w:themeColor="accent4"/>
      <w:sz w:val="28"/>
      <w:szCs w:val="32"/>
    </w:rPr>
  </w:style>
  <w:style w:type="character" w:customStyle="1" w:styleId="Heading3Char">
    <w:name w:val="Heading 3 Char"/>
    <w:basedOn w:val="DefaultParagraphFont"/>
    <w:link w:val="Heading3"/>
    <w:uiPriority w:val="9"/>
    <w:rsid w:val="00255B99"/>
    <w:rPr>
      <w:b/>
      <w:bCs/>
      <w:color w:val="000000" w:themeColor="text1"/>
      <w:sz w:val="24"/>
      <w:szCs w:val="28"/>
    </w:rPr>
  </w:style>
  <w:style w:type="character" w:customStyle="1" w:styleId="Heading4Char">
    <w:name w:val="Heading 4 Char"/>
    <w:basedOn w:val="DefaultParagraphFont"/>
    <w:link w:val="Heading4"/>
    <w:uiPriority w:val="9"/>
    <w:rsid w:val="00255B99"/>
    <w:rPr>
      <w:rFonts w:asciiTheme="majorHAnsi" w:hAnsiTheme="majorHAnsi"/>
      <w:i/>
      <w:color w:val="000000" w:themeColor="text1"/>
      <w:szCs w:val="24"/>
    </w:rPr>
  </w:style>
  <w:style w:type="character" w:customStyle="1" w:styleId="Heading5Char">
    <w:name w:val="Heading 5 Char"/>
    <w:basedOn w:val="DefaultParagraphFont"/>
    <w:link w:val="Heading5"/>
    <w:uiPriority w:val="9"/>
    <w:rsid w:val="00027771"/>
    <w:rPr>
      <w:rFonts w:asciiTheme="majorHAnsi" w:hAnsiTheme="majorHAnsi"/>
      <w:color w:val="00534D" w:themeColor="accent1" w:themeShade="80"/>
    </w:rPr>
  </w:style>
  <w:style w:type="paragraph" w:styleId="ListParagraph">
    <w:name w:val="List Paragraph"/>
    <w:basedOn w:val="Normal"/>
    <w:uiPriority w:val="34"/>
    <w:qFormat/>
    <w:rsid w:val="0012010E"/>
    <w:pPr>
      <w:ind w:left="720"/>
      <w:contextualSpacing/>
    </w:pPr>
  </w:style>
  <w:style w:type="paragraph" w:styleId="Title">
    <w:name w:val="Title"/>
    <w:basedOn w:val="Normal"/>
    <w:next w:val="Normal"/>
    <w:link w:val="TitleChar"/>
    <w:uiPriority w:val="10"/>
    <w:qFormat/>
    <w:rsid w:val="00162DE6"/>
    <w:pPr>
      <w:spacing w:before="840" w:after="360" w:line="240" w:lineRule="auto"/>
      <w:contextualSpacing/>
    </w:pPr>
    <w:rPr>
      <w:rFonts w:ascii="Cambria" w:eastAsiaTheme="majorEastAsia" w:hAnsi="Cambria" w:cstheme="majorBidi"/>
      <w:b/>
      <w:spacing w:val="-10"/>
      <w:kern w:val="28"/>
      <w:sz w:val="48"/>
      <w:szCs w:val="56"/>
    </w:rPr>
  </w:style>
  <w:style w:type="character" w:customStyle="1" w:styleId="TitleChar">
    <w:name w:val="Title Char"/>
    <w:basedOn w:val="DefaultParagraphFont"/>
    <w:link w:val="Title"/>
    <w:uiPriority w:val="10"/>
    <w:rsid w:val="00162DE6"/>
    <w:rPr>
      <w:rFonts w:ascii="Cambria" w:eastAsiaTheme="majorEastAsia" w:hAnsi="Cambria" w:cstheme="majorBidi"/>
      <w:b/>
      <w:spacing w:val="-10"/>
      <w:kern w:val="28"/>
      <w:sz w:val="48"/>
      <w:szCs w:val="56"/>
    </w:rPr>
  </w:style>
  <w:style w:type="character" w:customStyle="1" w:styleId="Heading1Char">
    <w:name w:val="Heading 1 Char"/>
    <w:basedOn w:val="DefaultParagraphFont"/>
    <w:link w:val="Heading1"/>
    <w:uiPriority w:val="9"/>
    <w:rsid w:val="00255B99"/>
    <w:rPr>
      <w:rFonts w:asciiTheme="majorHAnsi" w:eastAsiaTheme="majorEastAsia" w:hAnsiTheme="majorHAnsi" w:cstheme="majorBidi"/>
      <w:caps/>
      <w:color w:val="015692" w:themeColor="accent5"/>
      <w:sz w:val="32"/>
      <w:szCs w:val="32"/>
    </w:rPr>
  </w:style>
  <w:style w:type="character" w:customStyle="1" w:styleId="Heading6Char">
    <w:name w:val="Heading 6 Char"/>
    <w:basedOn w:val="DefaultParagraphFont"/>
    <w:link w:val="Heading6"/>
    <w:uiPriority w:val="9"/>
    <w:rsid w:val="00255B99"/>
    <w:rPr>
      <w:rFonts w:asciiTheme="majorHAnsi" w:eastAsiaTheme="majorEastAsia" w:hAnsiTheme="majorHAnsi" w:cstheme="majorBidi"/>
      <w:color w:val="015692" w:themeColor="accent5"/>
    </w:rPr>
  </w:style>
  <w:style w:type="character" w:customStyle="1" w:styleId="Heading7Char">
    <w:name w:val="Heading 7 Char"/>
    <w:basedOn w:val="DefaultParagraphFont"/>
    <w:link w:val="Heading7"/>
    <w:uiPriority w:val="9"/>
    <w:semiHidden/>
    <w:rsid w:val="00027771"/>
    <w:rPr>
      <w:rFonts w:asciiTheme="majorHAnsi" w:eastAsiaTheme="majorEastAsia" w:hAnsiTheme="majorHAnsi" w:cstheme="majorBidi"/>
      <w:i/>
      <w:iCs/>
      <w:color w:val="436621" w:themeColor="accent2" w:themeShade="80"/>
    </w:rPr>
  </w:style>
  <w:style w:type="character" w:styleId="IntenseEmphasis">
    <w:name w:val="Intense Emphasis"/>
    <w:basedOn w:val="DefaultParagraphFont"/>
    <w:uiPriority w:val="21"/>
    <w:qFormat/>
    <w:rsid w:val="00027771"/>
    <w:rPr>
      <w:i/>
      <w:iCs/>
      <w:color w:val="00534D" w:themeColor="accent1" w:themeShade="80"/>
    </w:rPr>
  </w:style>
  <w:style w:type="paragraph" w:styleId="IntenseQuote">
    <w:name w:val="Intense Quote"/>
    <w:basedOn w:val="Normal"/>
    <w:next w:val="Normal"/>
    <w:link w:val="IntenseQuoteChar"/>
    <w:uiPriority w:val="30"/>
    <w:qFormat/>
    <w:rsid w:val="00027771"/>
    <w:pPr>
      <w:pBdr>
        <w:top w:val="single" w:sz="4" w:space="10" w:color="00A69B" w:themeColor="accent1"/>
        <w:bottom w:val="single" w:sz="4" w:space="10" w:color="00A69B" w:themeColor="accent1"/>
      </w:pBdr>
      <w:spacing w:before="360" w:after="360"/>
      <w:ind w:left="864" w:right="864"/>
      <w:jc w:val="center"/>
    </w:pPr>
    <w:rPr>
      <w:i/>
      <w:iCs/>
      <w:color w:val="00534D" w:themeColor="accent1" w:themeShade="80"/>
    </w:rPr>
  </w:style>
  <w:style w:type="character" w:customStyle="1" w:styleId="IntenseQuoteChar">
    <w:name w:val="Intense Quote Char"/>
    <w:basedOn w:val="DefaultParagraphFont"/>
    <w:link w:val="IntenseQuote"/>
    <w:uiPriority w:val="30"/>
    <w:rsid w:val="00027771"/>
    <w:rPr>
      <w:i/>
      <w:iCs/>
      <w:color w:val="00534D" w:themeColor="accent1" w:themeShade="80"/>
    </w:rPr>
  </w:style>
  <w:style w:type="character" w:styleId="IntenseReference">
    <w:name w:val="Intense Reference"/>
    <w:basedOn w:val="DefaultParagraphFont"/>
    <w:uiPriority w:val="32"/>
    <w:qFormat/>
    <w:rsid w:val="00027771"/>
    <w:rPr>
      <w:b/>
      <w:bCs/>
      <w:smallCaps/>
      <w:color w:val="00534D" w:themeColor="accent1" w:themeShade="80"/>
      <w:spacing w:val="5"/>
    </w:rPr>
  </w:style>
  <w:style w:type="character" w:styleId="Hyperlink">
    <w:name w:val="Hyperlink"/>
    <w:basedOn w:val="DefaultParagraphFont"/>
    <w:uiPriority w:val="99"/>
    <w:unhideWhenUsed/>
    <w:rsid w:val="0068353F"/>
    <w:rPr>
      <w:color w:val="D0380E" w:themeColor="hyperlink"/>
      <w:u w:val="single"/>
    </w:rPr>
  </w:style>
  <w:style w:type="paragraph" w:styleId="CommentText">
    <w:name w:val="annotation text"/>
    <w:basedOn w:val="Normal"/>
    <w:link w:val="CommentTextChar"/>
    <w:uiPriority w:val="99"/>
    <w:unhideWhenUsed/>
    <w:rsid w:val="0068353F"/>
    <w:pPr>
      <w:spacing w:line="240" w:lineRule="auto"/>
    </w:pPr>
    <w:rPr>
      <w:sz w:val="20"/>
      <w:szCs w:val="20"/>
    </w:rPr>
  </w:style>
  <w:style w:type="character" w:customStyle="1" w:styleId="CommentTextChar">
    <w:name w:val="Comment Text Char"/>
    <w:basedOn w:val="DefaultParagraphFont"/>
    <w:link w:val="CommentText"/>
    <w:uiPriority w:val="99"/>
    <w:rsid w:val="0068353F"/>
    <w:rPr>
      <w:sz w:val="20"/>
      <w:szCs w:val="20"/>
    </w:rPr>
  </w:style>
  <w:style w:type="character" w:styleId="CommentReference">
    <w:name w:val="annotation reference"/>
    <w:basedOn w:val="DefaultParagraphFont"/>
    <w:uiPriority w:val="99"/>
    <w:semiHidden/>
    <w:unhideWhenUsed/>
    <w:rsid w:val="0068353F"/>
    <w:rPr>
      <w:sz w:val="16"/>
      <w:szCs w:val="16"/>
    </w:rPr>
  </w:style>
  <w:style w:type="character" w:customStyle="1" w:styleId="normaltextrun">
    <w:name w:val="normaltextrun"/>
    <w:basedOn w:val="DefaultParagraphFont"/>
    <w:rsid w:val="0068353F"/>
  </w:style>
  <w:style w:type="character" w:customStyle="1" w:styleId="eop">
    <w:name w:val="eop"/>
    <w:basedOn w:val="DefaultParagraphFont"/>
    <w:rsid w:val="0068353F"/>
  </w:style>
  <w:style w:type="paragraph" w:customStyle="1" w:styleId="paragraph">
    <w:name w:val="paragraph"/>
    <w:basedOn w:val="Normal"/>
    <w:rsid w:val="0068353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83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5D1A"/>
    <w:rPr>
      <w:color w:val="605E5C"/>
      <w:shd w:val="clear" w:color="auto" w:fill="E1DFDD"/>
    </w:rPr>
  </w:style>
  <w:style w:type="paragraph" w:customStyle="1" w:styleId="TableParagraph">
    <w:name w:val="Table Paragraph"/>
    <w:basedOn w:val="Normal"/>
    <w:uiPriority w:val="1"/>
    <w:qFormat/>
    <w:rsid w:val="00F15595"/>
    <w:pPr>
      <w:widowControl w:val="0"/>
      <w:autoSpaceDE w:val="0"/>
      <w:autoSpaceDN w:val="0"/>
      <w:spacing w:after="0" w:line="240" w:lineRule="auto"/>
      <w:ind w:left="214"/>
    </w:pPr>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8E6B5B"/>
    <w:rPr>
      <w:b/>
      <w:bCs/>
    </w:rPr>
  </w:style>
  <w:style w:type="character" w:customStyle="1" w:styleId="CommentSubjectChar">
    <w:name w:val="Comment Subject Char"/>
    <w:basedOn w:val="CommentTextChar"/>
    <w:link w:val="CommentSubject"/>
    <w:uiPriority w:val="99"/>
    <w:semiHidden/>
    <w:rsid w:val="008E6B5B"/>
    <w:rPr>
      <w:b/>
      <w:bCs/>
      <w:sz w:val="20"/>
      <w:szCs w:val="20"/>
    </w:rPr>
  </w:style>
  <w:style w:type="paragraph" w:styleId="Revision">
    <w:name w:val="Revision"/>
    <w:hidden/>
    <w:uiPriority w:val="99"/>
    <w:semiHidden/>
    <w:rsid w:val="008A2342"/>
    <w:pPr>
      <w:spacing w:after="0" w:line="240" w:lineRule="auto"/>
    </w:pPr>
  </w:style>
  <w:style w:type="character" w:styleId="FollowedHyperlink">
    <w:name w:val="FollowedHyperlink"/>
    <w:basedOn w:val="DefaultParagraphFont"/>
    <w:uiPriority w:val="99"/>
    <w:semiHidden/>
    <w:unhideWhenUsed/>
    <w:rsid w:val="00E23F0B"/>
    <w:rPr>
      <w:color w:val="007C74" w:themeColor="followedHyperlink"/>
      <w:u w:val="single"/>
    </w:rPr>
  </w:style>
  <w:style w:type="table" w:styleId="ListTable3-Accent1">
    <w:name w:val="List Table 3 Accent 1"/>
    <w:basedOn w:val="TableNormal"/>
    <w:uiPriority w:val="48"/>
    <w:rsid w:val="00C81240"/>
    <w:pPr>
      <w:spacing w:after="0" w:line="240" w:lineRule="auto"/>
    </w:pPr>
    <w:tblPr>
      <w:tblStyleRowBandSize w:val="1"/>
      <w:tblStyleColBandSize w:val="1"/>
      <w:tblBorders>
        <w:top w:val="single" w:sz="4" w:space="0" w:color="00A69B" w:themeColor="accent1"/>
        <w:left w:val="single" w:sz="4" w:space="0" w:color="00A69B" w:themeColor="accent1"/>
        <w:bottom w:val="single" w:sz="4" w:space="0" w:color="00A69B" w:themeColor="accent1"/>
        <w:right w:val="single" w:sz="4" w:space="0" w:color="00A69B" w:themeColor="accent1"/>
      </w:tblBorders>
    </w:tblPr>
    <w:tblStylePr w:type="firstRow">
      <w:rPr>
        <w:b/>
        <w:bCs/>
        <w:color w:val="FFFFFF" w:themeColor="background1"/>
      </w:rPr>
      <w:tblPr/>
      <w:tcPr>
        <w:shd w:val="clear" w:color="auto" w:fill="00A69B" w:themeFill="accent1"/>
      </w:tcPr>
    </w:tblStylePr>
    <w:tblStylePr w:type="lastRow">
      <w:rPr>
        <w:b/>
        <w:bCs/>
      </w:rPr>
      <w:tblPr/>
      <w:tcPr>
        <w:tcBorders>
          <w:top w:val="double" w:sz="4" w:space="0" w:color="00A6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69B" w:themeColor="accent1"/>
          <w:right w:val="single" w:sz="4" w:space="0" w:color="00A69B" w:themeColor="accent1"/>
        </w:tcBorders>
      </w:tcPr>
    </w:tblStylePr>
    <w:tblStylePr w:type="band1Horz">
      <w:tblPr/>
      <w:tcPr>
        <w:tcBorders>
          <w:top w:val="single" w:sz="4" w:space="0" w:color="00A69B" w:themeColor="accent1"/>
          <w:bottom w:val="single" w:sz="4" w:space="0" w:color="00A6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69B" w:themeColor="accent1"/>
          <w:left w:val="nil"/>
        </w:tcBorders>
      </w:tcPr>
    </w:tblStylePr>
    <w:tblStylePr w:type="swCell">
      <w:tblPr/>
      <w:tcPr>
        <w:tcBorders>
          <w:top w:val="double" w:sz="4" w:space="0" w:color="00A69B"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malone@actf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tfl.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atexa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mailto:TIA@TEA.TEXAS.GOV" TargetMode="External"/><Relationship Id="rId2" Type="http://schemas.openxmlformats.org/officeDocument/2006/relationships/hyperlink" Target="mailto:TIA@TEA.TEXAS.GOV"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IA">
      <a:dk1>
        <a:srgbClr val="000000"/>
      </a:dk1>
      <a:lt1>
        <a:sysClr val="window" lastClr="FFFFFF"/>
      </a:lt1>
      <a:dk2>
        <a:srgbClr val="363534"/>
      </a:dk2>
      <a:lt2>
        <a:srgbClr val="E7E3DB"/>
      </a:lt2>
      <a:accent1>
        <a:srgbClr val="00A69B"/>
      </a:accent1>
      <a:accent2>
        <a:srgbClr val="87C54A"/>
      </a:accent2>
      <a:accent3>
        <a:srgbClr val="F8CC2B"/>
      </a:accent3>
      <a:accent4>
        <a:srgbClr val="F16038"/>
      </a:accent4>
      <a:accent5>
        <a:srgbClr val="015692"/>
      </a:accent5>
      <a:accent6>
        <a:srgbClr val="E7E3DB"/>
      </a:accent6>
      <a:hlink>
        <a:srgbClr val="D0380E"/>
      </a:hlink>
      <a:folHlink>
        <a:srgbClr val="007C7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hotoTags xmlns="55ad0659-6a5d-4092-b991-df82805f26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8CB2DC0153D0408D1CF651F2AD29DF" ma:contentTypeVersion="14" ma:contentTypeDescription="Create a new document." ma:contentTypeScope="" ma:versionID="502ed03c3e35da23c13c09227bf43b1c">
  <xsd:schema xmlns:xsd="http://www.w3.org/2001/XMLSchema" xmlns:xs="http://www.w3.org/2001/XMLSchema" xmlns:p="http://schemas.microsoft.com/office/2006/metadata/properties" xmlns:ns2="55ad0659-6a5d-4092-b991-df82805f26a4" xmlns:ns3="4780d0d2-c080-455e-bee8-5b3382ef325a" targetNamespace="http://schemas.microsoft.com/office/2006/metadata/properties" ma:root="true" ma:fieldsID="9421725c09d0f3edbea8f1f6c1309576" ns2:_="" ns3:_="">
    <xsd:import namespace="55ad0659-6a5d-4092-b991-df82805f26a4"/>
    <xsd:import namespace="4780d0d2-c080-455e-bee8-5b3382ef32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Pho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d0659-6a5d-4092-b991-df82805f2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PhotoTags" ma:index="20" nillable="true" ma:displayName="Photo Tags" ma:format="Dropdown" ma:internalName="PhotoTags">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80d0d2-c080-455e-bee8-5b3382ef32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E18F62-A80A-4D5E-BB59-8E73F90A30B0}">
  <ds:schemaRefs>
    <ds:schemaRef ds:uri="http://schemas.openxmlformats.org/officeDocument/2006/bibliography"/>
  </ds:schemaRefs>
</ds:datastoreItem>
</file>

<file path=customXml/itemProps2.xml><?xml version="1.0" encoding="utf-8"?>
<ds:datastoreItem xmlns:ds="http://schemas.openxmlformats.org/officeDocument/2006/customXml" ds:itemID="{AE3404C1-532E-4141-993C-F9319CECFB3F}">
  <ds:schemaRefs>
    <ds:schemaRef ds:uri="http://purl.org/dc/elements/1.1/"/>
    <ds:schemaRef ds:uri="http://purl.org/dc/terms/"/>
    <ds:schemaRef ds:uri="http://schemas.openxmlformats.org/package/2006/metadata/core-properties"/>
    <ds:schemaRef ds:uri="4780d0d2-c080-455e-bee8-5b3382ef325a"/>
    <ds:schemaRef ds:uri="http://purl.org/dc/dcmitype/"/>
    <ds:schemaRef ds:uri="http://schemas.microsoft.com/office/2006/documentManagement/types"/>
    <ds:schemaRef ds:uri="55ad0659-6a5d-4092-b991-df82805f26a4"/>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21BA3DD-B366-4F50-AD00-7C4AC80FD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d0659-6a5d-4092-b991-df82805f26a4"/>
    <ds:schemaRef ds:uri="4780d0d2-c080-455e-bee8-5b3382ef3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7C20DE-20D2-471F-8A28-C3A2AEC94E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Richie, Amy</dc:creator>
  <cp:keywords/>
  <dc:description/>
  <cp:lastModifiedBy>Richie, Amy</cp:lastModifiedBy>
  <cp:revision>217</cp:revision>
  <dcterms:created xsi:type="dcterms:W3CDTF">2022-01-24T20:01:00Z</dcterms:created>
  <dcterms:modified xsi:type="dcterms:W3CDTF">2022-06-10T21:19:00Z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0x0101001B8CB2DC0153D0408D1CF651F2AD29DF</vt:lpwstr>
  </property>
</Properties>
</file>