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C1FCF" w14:textId="23497591" w:rsidR="005F4E14" w:rsidRDefault="00D76468" w:rsidP="00ED72A6">
      <w:pPr>
        <w:keepNext/>
        <w:keepLines/>
        <w:spacing w:before="240" w:after="0"/>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Cohort </w:t>
      </w:r>
      <w:r w:rsidR="001767AB">
        <w:rPr>
          <w:rFonts w:asciiTheme="majorHAnsi" w:eastAsiaTheme="majorEastAsia" w:hAnsiTheme="majorHAnsi" w:cstheme="majorBidi"/>
          <w:color w:val="2F5496" w:themeColor="accent1" w:themeShade="BF"/>
          <w:sz w:val="32"/>
          <w:szCs w:val="32"/>
        </w:rPr>
        <w:t>D</w:t>
      </w:r>
      <w:r w:rsidR="00C926A0">
        <w:rPr>
          <w:rFonts w:asciiTheme="majorHAnsi" w:eastAsiaTheme="majorEastAsia" w:hAnsiTheme="majorHAnsi" w:cstheme="majorBidi"/>
          <w:color w:val="2F5496" w:themeColor="accent1" w:themeShade="BF"/>
          <w:sz w:val="32"/>
          <w:szCs w:val="32"/>
        </w:rPr>
        <w:t xml:space="preserve"> System Application Scoring Rubric</w:t>
      </w:r>
    </w:p>
    <w:p w14:paraId="15D247FC" w14:textId="54DC42FA" w:rsidR="007C09FB" w:rsidRPr="007C09FB" w:rsidRDefault="000E67AD" w:rsidP="007C09FB">
      <w:pPr>
        <w:keepNext/>
        <w:keepLines/>
        <w:spacing w:after="0" w:line="240" w:lineRule="auto"/>
        <w:outlineLvl w:val="0"/>
        <w:rPr>
          <w:b/>
          <w:sz w:val="24"/>
          <w:szCs w:val="24"/>
        </w:rPr>
      </w:pPr>
      <w:r w:rsidRPr="00ED72A6">
        <w:rPr>
          <w:b/>
          <w:sz w:val="24"/>
          <w:szCs w:val="24"/>
        </w:rPr>
        <w:t>Part One: Statutory Elements</w:t>
      </w:r>
      <w:r w:rsidR="007C09FB">
        <w:rPr>
          <w:b/>
          <w:sz w:val="24"/>
          <w:szCs w:val="24"/>
        </w:rPr>
        <w:br/>
      </w:r>
      <w:r w:rsidR="007C09FB" w:rsidRPr="00E40064">
        <w:rPr>
          <w:rFonts w:eastAsiaTheme="majorEastAsia" w:cstheme="minorHAnsi"/>
          <w:sz w:val="24"/>
          <w:szCs w:val="24"/>
        </w:rPr>
        <w:t>Weighing Ta</w:t>
      </w:r>
      <w:r w:rsidR="007C09FB">
        <w:rPr>
          <w:rFonts w:eastAsiaTheme="majorEastAsia" w:cstheme="minorHAnsi"/>
          <w:sz w:val="24"/>
          <w:szCs w:val="24"/>
        </w:rPr>
        <w:t>b</w:t>
      </w:r>
    </w:p>
    <w:p w14:paraId="1A2FB62C" w14:textId="3F204AA4" w:rsidR="007C09FB" w:rsidRDefault="007C09FB" w:rsidP="00D62DB6">
      <w:pPr>
        <w:keepNext/>
        <w:keepLines/>
        <w:spacing w:after="0" w:line="240" w:lineRule="auto"/>
        <w:outlineLvl w:val="0"/>
        <w:rPr>
          <w:b/>
          <w:sz w:val="24"/>
          <w:szCs w:val="24"/>
        </w:rPr>
      </w:pPr>
    </w:p>
    <w:p w14:paraId="16CFAC71" w14:textId="6936D049" w:rsidR="00ED72A6" w:rsidRDefault="00ED72A6" w:rsidP="00ED72A6">
      <w:pPr>
        <w:spacing w:after="0"/>
        <w:rPr>
          <w:b/>
          <w:sz w:val="24"/>
          <w:szCs w:val="24"/>
        </w:rPr>
      </w:pPr>
    </w:p>
    <w:tbl>
      <w:tblPr>
        <w:tblStyle w:val="TableGrid"/>
        <w:tblpPr w:leftFromText="180" w:rightFromText="180" w:vertAnchor="page" w:horzAnchor="margin" w:tblpY="3685"/>
        <w:tblW w:w="14575" w:type="dxa"/>
        <w:tblLook w:val="04A0" w:firstRow="1" w:lastRow="0" w:firstColumn="1" w:lastColumn="0" w:noHBand="0" w:noVBand="1"/>
      </w:tblPr>
      <w:tblGrid>
        <w:gridCol w:w="2515"/>
        <w:gridCol w:w="2970"/>
        <w:gridCol w:w="2700"/>
        <w:gridCol w:w="6390"/>
      </w:tblGrid>
      <w:tr w:rsidR="00880165" w:rsidRPr="006745DA" w14:paraId="17E5E6B2" w14:textId="77777777" w:rsidTr="00260FE5">
        <w:trPr>
          <w:trHeight w:val="257"/>
        </w:trPr>
        <w:tc>
          <w:tcPr>
            <w:tcW w:w="2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6CB9" w:themeFill="text2"/>
            <w:vAlign w:val="center"/>
          </w:tcPr>
          <w:p w14:paraId="71B28CE5" w14:textId="77777777" w:rsidR="00D62DB6" w:rsidRPr="00260FE5" w:rsidRDefault="00D62DB6" w:rsidP="00260FE5">
            <w:pPr>
              <w:keepNext/>
              <w:keepLines/>
              <w:spacing w:before="120" w:line="259" w:lineRule="auto"/>
              <w:outlineLvl w:val="0"/>
              <w:rPr>
                <w:rFonts w:eastAsiaTheme="majorEastAsia" w:cstheme="minorHAnsi"/>
                <w:b/>
                <w:bCs/>
                <w:color w:val="FFFFFF" w:themeColor="background1"/>
                <w:sz w:val="24"/>
                <w:szCs w:val="24"/>
              </w:rPr>
            </w:pPr>
            <w:r w:rsidRPr="00260FE5">
              <w:rPr>
                <w:rFonts w:eastAsiaTheme="majorEastAsia" w:cstheme="minorHAnsi"/>
                <w:b/>
                <w:bCs/>
                <w:color w:val="FFFFFF" w:themeColor="background1"/>
                <w:sz w:val="24"/>
                <w:szCs w:val="24"/>
              </w:rPr>
              <w:t>Component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6038" w:themeFill="accent2"/>
            <w:vAlign w:val="center"/>
          </w:tcPr>
          <w:p w14:paraId="69D41DF5" w14:textId="77777777" w:rsidR="00D62DB6" w:rsidRPr="00880165" w:rsidRDefault="00D62DB6" w:rsidP="00260FE5">
            <w:pPr>
              <w:keepNext/>
              <w:keepLines/>
              <w:spacing w:before="120" w:line="259" w:lineRule="auto"/>
              <w:outlineLvl w:val="0"/>
              <w:rPr>
                <w:rFonts w:eastAsiaTheme="majorEastAsia" w:cstheme="minorHAnsi"/>
                <w:b/>
                <w:bCs/>
                <w:sz w:val="24"/>
                <w:szCs w:val="24"/>
              </w:rPr>
            </w:pPr>
            <w:r w:rsidRPr="00663B4C">
              <w:rPr>
                <w:rFonts w:eastAsiaTheme="majorEastAsia" w:cstheme="minorHAnsi"/>
                <w:b/>
                <w:bCs/>
                <w:color w:val="242424" w:themeColor="text1"/>
                <w:sz w:val="24"/>
                <w:szCs w:val="24"/>
              </w:rPr>
              <w:t>Limited or No Readiness</w:t>
            </w:r>
          </w:p>
        </w:tc>
        <w:tc>
          <w:tcPr>
            <w:tcW w:w="2700"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F8CC2A" w:themeFill="accent6"/>
            <w:vAlign w:val="center"/>
          </w:tcPr>
          <w:p w14:paraId="098E2815" w14:textId="77777777" w:rsidR="00D62DB6" w:rsidRPr="00880165" w:rsidRDefault="00D62DB6" w:rsidP="00260FE5">
            <w:pPr>
              <w:keepNext/>
              <w:keepLines/>
              <w:spacing w:before="120" w:line="259" w:lineRule="auto"/>
              <w:outlineLvl w:val="0"/>
              <w:rPr>
                <w:rFonts w:eastAsiaTheme="majorEastAsia" w:cstheme="minorHAnsi"/>
                <w:b/>
                <w:bCs/>
                <w:sz w:val="24"/>
                <w:szCs w:val="24"/>
              </w:rPr>
            </w:pPr>
            <w:r w:rsidRPr="00880165">
              <w:rPr>
                <w:rFonts w:eastAsiaTheme="majorEastAsia" w:cstheme="minorHAnsi"/>
                <w:b/>
                <w:bCs/>
                <w:sz w:val="24"/>
                <w:szCs w:val="24"/>
              </w:rPr>
              <w:t>Partial Readiness</w:t>
            </w:r>
          </w:p>
        </w:tc>
        <w:tc>
          <w:tcPr>
            <w:tcW w:w="6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841" w:themeFill="accent3"/>
            <w:vAlign w:val="center"/>
          </w:tcPr>
          <w:p w14:paraId="2DA46C92" w14:textId="77777777" w:rsidR="00D62DB6" w:rsidRPr="00880165" w:rsidRDefault="00D62DB6" w:rsidP="00260FE5">
            <w:pPr>
              <w:keepNext/>
              <w:keepLines/>
              <w:spacing w:before="120" w:line="259" w:lineRule="auto"/>
              <w:outlineLvl w:val="0"/>
              <w:rPr>
                <w:rFonts w:eastAsiaTheme="majorEastAsia" w:cstheme="minorHAnsi"/>
                <w:b/>
                <w:bCs/>
                <w:sz w:val="24"/>
                <w:szCs w:val="24"/>
              </w:rPr>
            </w:pPr>
            <w:r w:rsidRPr="00880165">
              <w:rPr>
                <w:rFonts w:eastAsiaTheme="majorEastAsia" w:cstheme="minorHAnsi"/>
                <w:b/>
                <w:bCs/>
                <w:sz w:val="24"/>
                <w:szCs w:val="24"/>
              </w:rPr>
              <w:t>Full Readiness</w:t>
            </w:r>
          </w:p>
        </w:tc>
      </w:tr>
      <w:tr w:rsidR="00466D5E" w:rsidRPr="006745DA" w14:paraId="36344B84" w14:textId="77777777" w:rsidTr="00260FE5">
        <w:tc>
          <w:tcPr>
            <w:tcW w:w="2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69D00358" w14:textId="77777777" w:rsidR="00D62DB6" w:rsidRPr="007D4BD9" w:rsidRDefault="00D62DB6" w:rsidP="00D62DB6">
            <w:pPr>
              <w:keepNext/>
              <w:keepLines/>
              <w:spacing w:before="120" w:line="259" w:lineRule="auto"/>
              <w:outlineLvl w:val="0"/>
              <w:rPr>
                <w:rFonts w:eastAsiaTheme="majorEastAsia" w:cstheme="minorHAnsi"/>
                <w:b/>
                <w:bCs/>
              </w:rPr>
            </w:pPr>
            <w:r w:rsidRPr="007D4BD9">
              <w:rPr>
                <w:rFonts w:eastAsiaTheme="majorEastAsia" w:cstheme="minorHAnsi"/>
                <w:b/>
                <w:bCs/>
              </w:rPr>
              <w:t>Includes a teacher observation component and a percent weight is assigned</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DFD7" w:themeFill="accent2" w:themeFillTint="33"/>
          </w:tcPr>
          <w:p w14:paraId="6C1D2826" w14:textId="77777777" w:rsidR="00D62DB6" w:rsidRPr="00A313CB" w:rsidRDefault="00D62DB6" w:rsidP="00D62DB6">
            <w:pPr>
              <w:keepNext/>
              <w:keepLines/>
              <w:spacing w:before="120" w:line="259" w:lineRule="auto"/>
              <w:outlineLvl w:val="0"/>
              <w:rPr>
                <w:rFonts w:eastAsiaTheme="majorEastAsia" w:cstheme="minorHAnsi"/>
                <w:sz w:val="20"/>
                <w:szCs w:val="20"/>
              </w:rPr>
            </w:pPr>
            <w:r w:rsidRPr="00A313CB">
              <w:rPr>
                <w:rFonts w:eastAsiaTheme="majorEastAsia" w:cstheme="minorHAnsi"/>
                <w:sz w:val="20"/>
                <w:szCs w:val="20"/>
              </w:rPr>
              <w:t>Does not include a teacher observation component as part of the local teacher designation system</w:t>
            </w:r>
          </w:p>
        </w:tc>
        <w:tc>
          <w:tcPr>
            <w:tcW w:w="2700"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FDF4D4" w:themeFill="accent6" w:themeFillTint="33"/>
          </w:tcPr>
          <w:p w14:paraId="359A2A33" w14:textId="70FDF8EE" w:rsidR="00D62DB6" w:rsidRPr="00A313CB" w:rsidRDefault="00D62DB6" w:rsidP="00D62DB6">
            <w:pPr>
              <w:keepNext/>
              <w:keepLines/>
              <w:spacing w:before="120" w:line="259" w:lineRule="auto"/>
              <w:outlineLvl w:val="0"/>
              <w:rPr>
                <w:rFonts w:eastAsiaTheme="majorEastAsia" w:cstheme="minorHAnsi"/>
                <w:sz w:val="20"/>
                <w:szCs w:val="20"/>
              </w:rPr>
            </w:pPr>
          </w:p>
        </w:tc>
        <w:tc>
          <w:tcPr>
            <w:tcW w:w="6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4D9" w:themeFill="accent3" w:themeFillTint="33"/>
          </w:tcPr>
          <w:p w14:paraId="7651ABAF" w14:textId="77777777" w:rsidR="00D62DB6" w:rsidRPr="00A313CB" w:rsidRDefault="00D62DB6" w:rsidP="00D62DB6">
            <w:pPr>
              <w:keepNext/>
              <w:keepLines/>
              <w:spacing w:before="120" w:line="259" w:lineRule="auto"/>
              <w:outlineLvl w:val="0"/>
              <w:rPr>
                <w:rFonts w:eastAsiaTheme="majorEastAsia" w:cstheme="minorHAnsi"/>
                <w:sz w:val="20"/>
                <w:szCs w:val="20"/>
              </w:rPr>
            </w:pPr>
            <w:r w:rsidRPr="00A313CB">
              <w:rPr>
                <w:rFonts w:eastAsiaTheme="majorEastAsia" w:cstheme="minorHAnsi"/>
                <w:sz w:val="20"/>
                <w:szCs w:val="20"/>
              </w:rPr>
              <w:t>Includes a teacher observation component as part of the local teacher designation system and assigns a clear percent weight for it</w:t>
            </w:r>
          </w:p>
        </w:tc>
      </w:tr>
      <w:tr w:rsidR="00466D5E" w:rsidRPr="006745DA" w14:paraId="59D69567" w14:textId="77777777" w:rsidTr="00260FE5">
        <w:tc>
          <w:tcPr>
            <w:tcW w:w="2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0F41D302" w14:textId="77777777" w:rsidR="00D62DB6" w:rsidRPr="007D4BD9" w:rsidRDefault="00D62DB6" w:rsidP="00D62DB6">
            <w:pPr>
              <w:keepNext/>
              <w:keepLines/>
              <w:spacing w:before="120" w:line="259" w:lineRule="auto"/>
              <w:outlineLvl w:val="0"/>
              <w:rPr>
                <w:rFonts w:eastAsiaTheme="majorEastAsia" w:cstheme="minorHAnsi"/>
                <w:b/>
                <w:bCs/>
              </w:rPr>
            </w:pPr>
            <w:r w:rsidRPr="007D4BD9">
              <w:rPr>
                <w:rFonts w:eastAsiaTheme="majorEastAsia" w:cstheme="minorHAnsi"/>
                <w:b/>
                <w:bCs/>
              </w:rPr>
              <w:t>Includes a Student Growth component and a percent weight is assigned</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DFD7" w:themeFill="accent2" w:themeFillTint="33"/>
          </w:tcPr>
          <w:p w14:paraId="6B48B536" w14:textId="77777777" w:rsidR="00D62DB6" w:rsidRPr="00A313CB" w:rsidRDefault="00D62DB6" w:rsidP="00D62DB6">
            <w:pPr>
              <w:keepNext/>
              <w:keepLines/>
              <w:spacing w:before="120" w:line="259" w:lineRule="auto"/>
              <w:outlineLvl w:val="0"/>
              <w:rPr>
                <w:rFonts w:eastAsiaTheme="majorEastAsia" w:cstheme="minorHAnsi"/>
                <w:sz w:val="20"/>
                <w:szCs w:val="20"/>
              </w:rPr>
            </w:pPr>
            <w:r w:rsidRPr="00A313CB">
              <w:rPr>
                <w:rFonts w:eastAsiaTheme="majorEastAsia" w:cstheme="minorHAnsi"/>
                <w:sz w:val="20"/>
                <w:szCs w:val="20"/>
              </w:rPr>
              <w:t>Does not include a student growth component as part of local teacher designation system</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F4D4" w:themeFill="accent6" w:themeFillTint="33"/>
          </w:tcPr>
          <w:p w14:paraId="5F5CCF60" w14:textId="77777777" w:rsidR="00D62DB6" w:rsidRPr="00A313CB" w:rsidRDefault="00D62DB6" w:rsidP="00D62DB6">
            <w:pPr>
              <w:keepNext/>
              <w:keepLines/>
              <w:spacing w:before="120" w:line="259" w:lineRule="auto"/>
              <w:outlineLvl w:val="0"/>
              <w:rPr>
                <w:rFonts w:eastAsiaTheme="majorEastAsia" w:cstheme="minorHAnsi"/>
                <w:sz w:val="20"/>
                <w:szCs w:val="20"/>
              </w:rPr>
            </w:pPr>
            <w:r w:rsidRPr="00A313CB">
              <w:rPr>
                <w:rFonts w:eastAsiaTheme="majorEastAsia" w:cstheme="minorHAnsi"/>
                <w:sz w:val="20"/>
                <w:szCs w:val="20"/>
              </w:rPr>
              <w:t>Uses an approved student growth measure for some but not all eligible teaching assignments</w:t>
            </w:r>
          </w:p>
        </w:tc>
        <w:tc>
          <w:tcPr>
            <w:tcW w:w="6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4D9" w:themeFill="accent3" w:themeFillTint="33"/>
          </w:tcPr>
          <w:p w14:paraId="068C9256" w14:textId="77777777" w:rsidR="00D62DB6" w:rsidRPr="00A313CB" w:rsidRDefault="00D62DB6" w:rsidP="00D62DB6">
            <w:pPr>
              <w:keepNext/>
              <w:keepLines/>
              <w:spacing w:before="120" w:line="259" w:lineRule="auto"/>
              <w:outlineLvl w:val="0"/>
              <w:rPr>
                <w:rFonts w:eastAsiaTheme="majorEastAsia" w:cstheme="minorHAnsi"/>
                <w:sz w:val="20"/>
                <w:szCs w:val="20"/>
              </w:rPr>
            </w:pPr>
            <w:r w:rsidRPr="00A313CB">
              <w:rPr>
                <w:rFonts w:eastAsiaTheme="majorEastAsia" w:cstheme="minorHAnsi"/>
                <w:sz w:val="20"/>
                <w:szCs w:val="20"/>
              </w:rPr>
              <w:t>Uses approved student growth measures as part of the local teacher designation system for all eligible teaching assignments, and clearly identifies which student growth measures applies to which eligible teaching assignments. A clear percent weight of the student growth component is assigned</w:t>
            </w:r>
          </w:p>
        </w:tc>
      </w:tr>
      <w:tr w:rsidR="00466D5E" w:rsidRPr="006745DA" w14:paraId="67D46879" w14:textId="77777777" w:rsidTr="00260FE5">
        <w:tc>
          <w:tcPr>
            <w:tcW w:w="2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182E780C" w14:textId="77777777" w:rsidR="00D62DB6" w:rsidRPr="007D4BD9" w:rsidRDefault="00D62DB6" w:rsidP="00D62DB6">
            <w:pPr>
              <w:keepNext/>
              <w:keepLines/>
              <w:spacing w:before="120" w:line="259" w:lineRule="auto"/>
              <w:outlineLvl w:val="0"/>
              <w:rPr>
                <w:rFonts w:eastAsiaTheme="majorEastAsia" w:cstheme="minorHAnsi"/>
                <w:b/>
                <w:bCs/>
              </w:rPr>
            </w:pPr>
            <w:r w:rsidRPr="007D4BD9">
              <w:rPr>
                <w:rFonts w:eastAsiaTheme="majorEastAsia" w:cstheme="minorHAnsi"/>
                <w:b/>
                <w:bCs/>
              </w:rPr>
              <w:t>If used, Additional Optional Components included in the local designation system are included as “Additional System Components” and not included as part of the Student Growth components.  (Example school STAAR, parent surveys, etc.)</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DFD7" w:themeFill="accent2" w:themeFillTint="33"/>
          </w:tcPr>
          <w:p w14:paraId="49C01FDA" w14:textId="77777777" w:rsidR="00D62DB6" w:rsidRPr="00A313CB" w:rsidRDefault="00D62DB6" w:rsidP="00D62DB6">
            <w:pPr>
              <w:keepNext/>
              <w:keepLines/>
              <w:spacing w:before="120" w:line="259" w:lineRule="auto"/>
              <w:outlineLvl w:val="0"/>
              <w:rPr>
                <w:rFonts w:eastAsiaTheme="majorEastAsia" w:cstheme="minorHAnsi"/>
                <w:sz w:val="20"/>
                <w:szCs w:val="20"/>
              </w:rPr>
            </w:pPr>
            <w:r w:rsidRPr="00A313CB">
              <w:rPr>
                <w:rFonts w:eastAsiaTheme="majorEastAsia" w:cstheme="minorHAnsi"/>
                <w:sz w:val="20"/>
                <w:szCs w:val="20"/>
              </w:rPr>
              <w:t>If using additional optional components, district counts additional optional measures that are not directly tied a teacher’s specific individual performance as part of the student growth component instead of as part of the “Additional System Components”</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F4D4" w:themeFill="accent6" w:themeFillTint="33"/>
          </w:tcPr>
          <w:p w14:paraId="6A92D093" w14:textId="77777777" w:rsidR="00D62DB6" w:rsidRPr="00A313CB" w:rsidRDefault="00D62DB6" w:rsidP="00D62DB6">
            <w:pPr>
              <w:keepNext/>
              <w:keepLines/>
              <w:spacing w:before="120" w:line="259" w:lineRule="auto"/>
              <w:outlineLvl w:val="0"/>
              <w:rPr>
                <w:rFonts w:eastAsiaTheme="majorEastAsia" w:cstheme="minorHAnsi"/>
                <w:sz w:val="20"/>
                <w:szCs w:val="20"/>
              </w:rPr>
            </w:pPr>
          </w:p>
        </w:tc>
        <w:tc>
          <w:tcPr>
            <w:tcW w:w="6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4D9" w:themeFill="accent3" w:themeFillTint="33"/>
          </w:tcPr>
          <w:p w14:paraId="1D588433" w14:textId="77777777" w:rsidR="00D62DB6" w:rsidRPr="00A313CB" w:rsidRDefault="00D62DB6" w:rsidP="00D62DB6">
            <w:pPr>
              <w:keepNext/>
              <w:keepLines/>
              <w:spacing w:before="120" w:line="259" w:lineRule="auto"/>
              <w:outlineLvl w:val="0"/>
              <w:rPr>
                <w:rFonts w:eastAsiaTheme="majorEastAsia" w:cstheme="minorHAnsi"/>
                <w:sz w:val="20"/>
                <w:szCs w:val="20"/>
              </w:rPr>
            </w:pPr>
            <w:r w:rsidRPr="00A313CB">
              <w:rPr>
                <w:rFonts w:eastAsiaTheme="majorEastAsia" w:cstheme="minorHAnsi"/>
                <w:sz w:val="20"/>
                <w:szCs w:val="20"/>
              </w:rPr>
              <w:t>If using additional optional components that are not directly tied to a teacher’s specific individual performance, they are listed as “Additional System Components” and are not listed as part of the student growth component, and a clear percent weight is assigned for each additional system component included</w:t>
            </w:r>
          </w:p>
        </w:tc>
      </w:tr>
    </w:tbl>
    <w:p w14:paraId="76E17A46" w14:textId="605850F8" w:rsidR="0061527F" w:rsidRDefault="0061527F" w:rsidP="00ED72A6">
      <w:pPr>
        <w:spacing w:after="0"/>
        <w:rPr>
          <w:b/>
          <w:sz w:val="24"/>
          <w:szCs w:val="24"/>
        </w:rPr>
      </w:pPr>
    </w:p>
    <w:p w14:paraId="3727356D" w14:textId="791F7CA9" w:rsidR="00D62DB6" w:rsidRDefault="00D62DB6" w:rsidP="00ED72A6">
      <w:pPr>
        <w:spacing w:after="0"/>
        <w:rPr>
          <w:b/>
          <w:sz w:val="24"/>
          <w:szCs w:val="24"/>
        </w:rPr>
      </w:pPr>
    </w:p>
    <w:p w14:paraId="47FE690A" w14:textId="1FBF4AFB" w:rsidR="00436A58" w:rsidRDefault="00436A58" w:rsidP="00ED72A6">
      <w:pPr>
        <w:spacing w:after="0"/>
        <w:rPr>
          <w:b/>
          <w:sz w:val="24"/>
          <w:szCs w:val="24"/>
        </w:rPr>
      </w:pPr>
    </w:p>
    <w:p w14:paraId="08AC3C41" w14:textId="77777777" w:rsidR="00AC63FB" w:rsidRDefault="00AC63FB" w:rsidP="00ED72A6">
      <w:pPr>
        <w:spacing w:after="0"/>
        <w:rPr>
          <w:b/>
          <w:sz w:val="24"/>
          <w:szCs w:val="24"/>
        </w:rPr>
      </w:pPr>
    </w:p>
    <w:p w14:paraId="38172F16" w14:textId="208AFA85" w:rsidR="00ED72A6" w:rsidRPr="00ED72A6" w:rsidRDefault="001F3A95" w:rsidP="00ED72A6">
      <w:pPr>
        <w:rPr>
          <w:sz w:val="24"/>
          <w:szCs w:val="24"/>
        </w:rPr>
      </w:pPr>
      <w:r>
        <w:rPr>
          <w:sz w:val="24"/>
          <w:szCs w:val="24"/>
        </w:rPr>
        <w:t>Teacher Observation Tab</w:t>
      </w:r>
    </w:p>
    <w:tbl>
      <w:tblPr>
        <w:tblStyle w:val="TableGrid"/>
        <w:tblW w:w="14575" w:type="dxa"/>
        <w:tblLook w:val="04A0" w:firstRow="1" w:lastRow="0" w:firstColumn="1" w:lastColumn="0" w:noHBand="0" w:noVBand="1"/>
      </w:tblPr>
      <w:tblGrid>
        <w:gridCol w:w="2515"/>
        <w:gridCol w:w="3060"/>
        <w:gridCol w:w="2610"/>
        <w:gridCol w:w="6390"/>
      </w:tblGrid>
      <w:tr w:rsidR="00ED72A6" w:rsidRPr="00ED72A6" w14:paraId="28C4F217" w14:textId="77777777" w:rsidTr="00260FE5">
        <w:trPr>
          <w:trHeight w:val="323"/>
        </w:trPr>
        <w:tc>
          <w:tcPr>
            <w:tcW w:w="2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6CB9" w:themeFill="text2"/>
          </w:tcPr>
          <w:p w14:paraId="6C763622" w14:textId="77777777" w:rsidR="00ED72A6" w:rsidRPr="00260FE5" w:rsidRDefault="00ED72A6" w:rsidP="00ED72A6">
            <w:pPr>
              <w:rPr>
                <w:b/>
                <w:bCs/>
                <w:color w:val="FFFFFF" w:themeColor="background1"/>
                <w:sz w:val="24"/>
                <w:szCs w:val="24"/>
              </w:rPr>
            </w:pPr>
            <w:r w:rsidRPr="00260FE5">
              <w:rPr>
                <w:b/>
                <w:bCs/>
                <w:color w:val="FFFFFF" w:themeColor="background1"/>
                <w:sz w:val="24"/>
                <w:szCs w:val="24"/>
              </w:rPr>
              <w:t>Component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6038" w:themeFill="accent2"/>
          </w:tcPr>
          <w:p w14:paraId="0E0799B6" w14:textId="77777777" w:rsidR="00ED72A6" w:rsidRPr="00ED72A6" w:rsidRDefault="00ED72A6" w:rsidP="00ED72A6">
            <w:pPr>
              <w:rPr>
                <w:b/>
                <w:bCs/>
                <w:sz w:val="24"/>
                <w:szCs w:val="24"/>
              </w:rPr>
            </w:pPr>
            <w:r w:rsidRPr="00663B4C">
              <w:rPr>
                <w:b/>
                <w:bCs/>
                <w:color w:val="242424" w:themeColor="text1"/>
                <w:sz w:val="24"/>
                <w:szCs w:val="24"/>
              </w:rPr>
              <w:t>Limited or No Readiness</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CC2A" w:themeFill="accent6"/>
          </w:tcPr>
          <w:p w14:paraId="54A08932" w14:textId="77777777" w:rsidR="00ED72A6" w:rsidRPr="00ED72A6" w:rsidRDefault="00ED72A6" w:rsidP="00ED72A6">
            <w:pPr>
              <w:rPr>
                <w:b/>
                <w:bCs/>
                <w:sz w:val="24"/>
                <w:szCs w:val="24"/>
              </w:rPr>
            </w:pPr>
            <w:r w:rsidRPr="00ED72A6">
              <w:rPr>
                <w:b/>
                <w:bCs/>
                <w:sz w:val="24"/>
                <w:szCs w:val="24"/>
              </w:rPr>
              <w:t>Partial Readiness</w:t>
            </w:r>
          </w:p>
        </w:tc>
        <w:tc>
          <w:tcPr>
            <w:tcW w:w="6390" w:type="dxa"/>
            <w:tcBorders>
              <w:top w:val="single" w:sz="4" w:space="0" w:color="FFFFFF" w:themeColor="background1"/>
              <w:left w:val="single" w:sz="4" w:space="0" w:color="FFFFFF" w:themeColor="background1"/>
              <w:bottom w:val="single" w:sz="4" w:space="0" w:color="FFFFFF" w:themeColor="background1"/>
            </w:tcBorders>
            <w:shd w:val="clear" w:color="auto" w:fill="92C841" w:themeFill="accent3"/>
          </w:tcPr>
          <w:p w14:paraId="2DBC3834" w14:textId="77777777" w:rsidR="00ED72A6" w:rsidRPr="00ED72A6" w:rsidRDefault="00ED72A6" w:rsidP="00ED72A6">
            <w:pPr>
              <w:rPr>
                <w:b/>
                <w:bCs/>
                <w:sz w:val="24"/>
                <w:szCs w:val="24"/>
              </w:rPr>
            </w:pPr>
            <w:r w:rsidRPr="00ED72A6">
              <w:rPr>
                <w:b/>
                <w:bCs/>
                <w:sz w:val="24"/>
                <w:szCs w:val="24"/>
              </w:rPr>
              <w:t>Full Readiness</w:t>
            </w:r>
          </w:p>
        </w:tc>
      </w:tr>
      <w:tr w:rsidR="00ED72A6" w:rsidRPr="00ED72A6" w14:paraId="24CC776E" w14:textId="77777777" w:rsidTr="000F401A">
        <w:tc>
          <w:tcPr>
            <w:tcW w:w="2515"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72CC2D42" w14:textId="376F2FB3" w:rsidR="00ED72A6" w:rsidRPr="00D62DB6" w:rsidRDefault="00A51122" w:rsidP="00D62DB6">
            <w:pPr>
              <w:rPr>
                <w:b/>
                <w:bCs/>
              </w:rPr>
            </w:pPr>
            <w:r w:rsidRPr="00D62DB6">
              <w:rPr>
                <w:b/>
                <w:bCs/>
              </w:rPr>
              <w:t>Teacher Observation Rubric and Appraiser Certification</w:t>
            </w:r>
          </w:p>
          <w:p w14:paraId="1DF129A0" w14:textId="77777777" w:rsidR="00ED72A6" w:rsidRPr="00ED72A6" w:rsidRDefault="00ED72A6" w:rsidP="00D62DB6">
            <w:pPr>
              <w:rPr>
                <w:b/>
                <w:bCs/>
              </w:rPr>
            </w:pPr>
          </w:p>
          <w:p w14:paraId="47D6A149" w14:textId="6261CD3B" w:rsidR="00ED72A6" w:rsidRPr="00ED72A6" w:rsidRDefault="00ED72A6" w:rsidP="00D62DB6">
            <w:pPr>
              <w:rPr>
                <w:i/>
                <w:iCs/>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DFD7" w:themeFill="accent2" w:themeFillTint="33"/>
          </w:tcPr>
          <w:p w14:paraId="0FF65646" w14:textId="56F324F6" w:rsidR="00ED72A6" w:rsidRPr="00ED72A6" w:rsidRDefault="00303079" w:rsidP="00ED72A6">
            <w:pPr>
              <w:rPr>
                <w:sz w:val="20"/>
                <w:szCs w:val="20"/>
              </w:rPr>
            </w:pPr>
            <w:r>
              <w:rPr>
                <w:sz w:val="20"/>
                <w:szCs w:val="20"/>
              </w:rPr>
              <w:t xml:space="preserve">District does not </w:t>
            </w:r>
            <w:r w:rsidR="00A472A3">
              <w:rPr>
                <w:sz w:val="20"/>
                <w:szCs w:val="20"/>
              </w:rPr>
              <w:t>use an approved teacher observation rubric and/or appraisers are not required to recertify at least every three years</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F4D4" w:themeFill="accent6" w:themeFillTint="33"/>
          </w:tcPr>
          <w:p w14:paraId="78586C5B" w14:textId="61EC9A1E" w:rsidR="00ED72A6" w:rsidRPr="00ED72A6" w:rsidRDefault="003C5335" w:rsidP="00ED72A6">
            <w:pPr>
              <w:rPr>
                <w:sz w:val="20"/>
                <w:szCs w:val="20"/>
              </w:rPr>
            </w:pPr>
            <w:r>
              <w:rPr>
                <w:sz w:val="20"/>
                <w:szCs w:val="20"/>
              </w:rPr>
              <w:t>District uses an approved teacher observation rubric</w:t>
            </w:r>
            <w:r w:rsidR="005E01B0">
              <w:rPr>
                <w:sz w:val="20"/>
                <w:szCs w:val="20"/>
              </w:rPr>
              <w:t xml:space="preserve"> but there are limited requirements for initial certification and/or renewal</w:t>
            </w:r>
            <w:r w:rsidR="00ED72A6" w:rsidRPr="00ED72A6">
              <w:rPr>
                <w:sz w:val="20"/>
                <w:szCs w:val="20"/>
              </w:rPr>
              <w:t xml:space="preserve"> </w:t>
            </w:r>
          </w:p>
        </w:tc>
        <w:tc>
          <w:tcPr>
            <w:tcW w:w="6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4D9" w:themeFill="accent3" w:themeFillTint="33"/>
          </w:tcPr>
          <w:p w14:paraId="1FA1FF51" w14:textId="5693547F" w:rsidR="00ED72A6" w:rsidRPr="00222048" w:rsidRDefault="00411F18" w:rsidP="006F00BF">
            <w:pPr>
              <w:rPr>
                <w:sz w:val="20"/>
                <w:szCs w:val="20"/>
              </w:rPr>
            </w:pPr>
            <w:r>
              <w:rPr>
                <w:sz w:val="20"/>
                <w:szCs w:val="20"/>
              </w:rPr>
              <w:t>District uses an approved teacher observation rubric that accurately measures teacher effectiveness</w:t>
            </w:r>
            <w:r w:rsidR="00A3243B">
              <w:rPr>
                <w:sz w:val="20"/>
                <w:szCs w:val="20"/>
              </w:rPr>
              <w:t xml:space="preserve">, </w:t>
            </w:r>
            <w:r w:rsidR="003B1B66">
              <w:rPr>
                <w:sz w:val="20"/>
                <w:szCs w:val="20"/>
              </w:rPr>
              <w:t>aligns to</w:t>
            </w:r>
            <w:r w:rsidR="00C564F3">
              <w:rPr>
                <w:sz w:val="20"/>
                <w:szCs w:val="20"/>
              </w:rPr>
              <w:t xml:space="preserve"> all of the dimensions of T-TESS</w:t>
            </w:r>
            <w:r w:rsidR="00A3243B">
              <w:rPr>
                <w:sz w:val="20"/>
                <w:szCs w:val="20"/>
              </w:rPr>
              <w:t>,</w:t>
            </w:r>
            <w:r>
              <w:rPr>
                <w:sz w:val="20"/>
                <w:szCs w:val="20"/>
              </w:rPr>
              <w:t xml:space="preserve"> and </w:t>
            </w:r>
            <w:r w:rsidR="00A3243B">
              <w:rPr>
                <w:sz w:val="20"/>
                <w:szCs w:val="20"/>
              </w:rPr>
              <w:t xml:space="preserve">is in compliance with </w:t>
            </w:r>
            <w:r w:rsidR="00C8136B">
              <w:rPr>
                <w:rFonts w:cstheme="minorHAnsi"/>
                <w:sz w:val="20"/>
                <w:szCs w:val="20"/>
              </w:rPr>
              <w:t>§</w:t>
            </w:r>
            <w:r w:rsidR="004F7BFC">
              <w:rPr>
                <w:sz w:val="20"/>
                <w:szCs w:val="20"/>
              </w:rPr>
              <w:t xml:space="preserve"> 21.</w:t>
            </w:r>
            <w:r w:rsidR="00BE25BC">
              <w:rPr>
                <w:sz w:val="20"/>
                <w:szCs w:val="20"/>
              </w:rPr>
              <w:t>3</w:t>
            </w:r>
            <w:r w:rsidR="004F7BFC">
              <w:rPr>
                <w:sz w:val="20"/>
                <w:szCs w:val="20"/>
              </w:rPr>
              <w:t xml:space="preserve">51 and </w:t>
            </w:r>
            <w:r w:rsidR="008104AA">
              <w:rPr>
                <w:rFonts w:cstheme="minorHAnsi"/>
                <w:sz w:val="20"/>
                <w:szCs w:val="20"/>
              </w:rPr>
              <w:t>§</w:t>
            </w:r>
            <w:r w:rsidR="008104AA">
              <w:rPr>
                <w:sz w:val="20"/>
                <w:szCs w:val="20"/>
              </w:rPr>
              <w:t xml:space="preserve"> 21.352</w:t>
            </w:r>
            <w:r w:rsidR="001C7FF0">
              <w:rPr>
                <w:sz w:val="20"/>
                <w:szCs w:val="20"/>
              </w:rPr>
              <w:t>. T</w:t>
            </w:r>
            <w:r w:rsidR="006F00BF" w:rsidRPr="00ED72A6">
              <w:rPr>
                <w:sz w:val="20"/>
                <w:szCs w:val="20"/>
              </w:rPr>
              <w:t xml:space="preserve">horough training/certification </w:t>
            </w:r>
            <w:r w:rsidR="009129E5">
              <w:rPr>
                <w:sz w:val="20"/>
                <w:szCs w:val="20"/>
              </w:rPr>
              <w:t xml:space="preserve">is </w:t>
            </w:r>
            <w:r w:rsidR="006F00BF" w:rsidRPr="00ED72A6">
              <w:rPr>
                <w:sz w:val="20"/>
                <w:szCs w:val="20"/>
              </w:rPr>
              <w:t xml:space="preserve">required for all appraisers. </w:t>
            </w:r>
            <w:r w:rsidR="006F00BF">
              <w:rPr>
                <w:sz w:val="20"/>
                <w:szCs w:val="20"/>
              </w:rPr>
              <w:t>Calibration component required during certification.</w:t>
            </w:r>
            <w:r w:rsidR="00ED07AC">
              <w:rPr>
                <w:sz w:val="20"/>
                <w:szCs w:val="20"/>
              </w:rPr>
              <w:t xml:space="preserve"> </w:t>
            </w:r>
            <w:r w:rsidR="00794DE9">
              <w:rPr>
                <w:sz w:val="20"/>
                <w:szCs w:val="20"/>
              </w:rPr>
              <w:t xml:space="preserve">Recalibration to </w:t>
            </w:r>
            <w:r w:rsidR="00ED07AC">
              <w:rPr>
                <w:sz w:val="20"/>
                <w:szCs w:val="20"/>
              </w:rPr>
              <w:t>the rubric is required at least annually.</w:t>
            </w:r>
            <w:r w:rsidR="006F00BF">
              <w:rPr>
                <w:sz w:val="20"/>
                <w:szCs w:val="20"/>
              </w:rPr>
              <w:t xml:space="preserve"> </w:t>
            </w:r>
            <w:r w:rsidR="006F00BF" w:rsidRPr="65D30A2A">
              <w:rPr>
                <w:sz w:val="20"/>
                <w:szCs w:val="20"/>
              </w:rPr>
              <w:t>Recertification</w:t>
            </w:r>
            <w:r w:rsidR="006F00BF" w:rsidRPr="00ED72A6">
              <w:rPr>
                <w:sz w:val="20"/>
                <w:szCs w:val="20"/>
              </w:rPr>
              <w:t xml:space="preserve"> of appraisers required at minimum every 3 years</w:t>
            </w:r>
            <w:r w:rsidR="00E834AD">
              <w:rPr>
                <w:sz w:val="20"/>
                <w:szCs w:val="20"/>
              </w:rPr>
              <w:t xml:space="preserve">. </w:t>
            </w:r>
          </w:p>
        </w:tc>
      </w:tr>
      <w:tr w:rsidR="00ED72A6" w:rsidRPr="00ED72A6" w14:paraId="572D8A17" w14:textId="77777777" w:rsidTr="000F401A">
        <w:tc>
          <w:tcPr>
            <w:tcW w:w="2515" w:type="dxa"/>
            <w:tcBorders>
              <w:top w:val="nil"/>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530E88DB" w14:textId="463C6DE3" w:rsidR="00ED72A6" w:rsidRPr="00D62DB6" w:rsidRDefault="00ED72A6" w:rsidP="00D62DB6">
            <w:pPr>
              <w:rPr>
                <w:b/>
                <w:bCs/>
              </w:rPr>
            </w:pPr>
            <w:r w:rsidRPr="00D62DB6">
              <w:rPr>
                <w:b/>
                <w:bCs/>
              </w:rPr>
              <w:t>Reliability of teacher appraisers within and across campuses</w:t>
            </w:r>
          </w:p>
          <w:p w14:paraId="6FA527DA" w14:textId="77777777" w:rsidR="00ED72A6" w:rsidRPr="00ED72A6" w:rsidRDefault="00ED72A6" w:rsidP="00D62DB6">
            <w:pPr>
              <w:rPr>
                <w:b/>
                <w:bCs/>
              </w:rPr>
            </w:pPr>
          </w:p>
          <w:p w14:paraId="2DF6BE6C" w14:textId="5D0B38CF" w:rsidR="00ED72A6" w:rsidRPr="00ED72A6" w:rsidRDefault="00ED72A6" w:rsidP="00D62DB6">
            <w:pPr>
              <w:rPr>
                <w:i/>
                <w:iCs/>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DFD7" w:themeFill="accent2" w:themeFillTint="33"/>
          </w:tcPr>
          <w:p w14:paraId="6DF4022F" w14:textId="77777777" w:rsidR="00ED72A6" w:rsidRPr="00ED72A6" w:rsidRDefault="00ED72A6" w:rsidP="00ED72A6">
            <w:pPr>
              <w:rPr>
                <w:sz w:val="20"/>
                <w:szCs w:val="20"/>
              </w:rPr>
            </w:pPr>
            <w:r w:rsidRPr="00ED72A6">
              <w:rPr>
                <w:sz w:val="20"/>
                <w:szCs w:val="20"/>
              </w:rPr>
              <w:t>No annual calibration of appraisers is required</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F4D4" w:themeFill="accent6" w:themeFillTint="33"/>
          </w:tcPr>
          <w:p w14:paraId="4504B3D1" w14:textId="77777777" w:rsidR="00ED72A6" w:rsidRPr="00ED72A6" w:rsidRDefault="00ED72A6" w:rsidP="00ED72A6">
            <w:pPr>
              <w:rPr>
                <w:sz w:val="20"/>
                <w:szCs w:val="20"/>
              </w:rPr>
            </w:pPr>
            <w:r w:rsidRPr="00ED72A6">
              <w:rPr>
                <w:sz w:val="20"/>
                <w:szCs w:val="20"/>
              </w:rPr>
              <w:t>Calibration of appraisers required only within the campus and/or not required annually</w:t>
            </w:r>
          </w:p>
        </w:tc>
        <w:tc>
          <w:tcPr>
            <w:tcW w:w="6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4D9" w:themeFill="accent3" w:themeFillTint="33"/>
          </w:tcPr>
          <w:p w14:paraId="33016286" w14:textId="686CC1C0" w:rsidR="005500A0" w:rsidRPr="005500A0" w:rsidRDefault="00ED72A6" w:rsidP="00ED72A6">
            <w:pPr>
              <w:rPr>
                <w:sz w:val="20"/>
                <w:szCs w:val="20"/>
              </w:rPr>
            </w:pPr>
            <w:r w:rsidRPr="00ED72A6">
              <w:rPr>
                <w:sz w:val="20"/>
                <w:szCs w:val="20"/>
              </w:rPr>
              <w:t>Calibration among appraisers both within and among campuses, including district leadership, is required at least once a year</w:t>
            </w:r>
            <w:r w:rsidR="000C20CF">
              <w:rPr>
                <w:sz w:val="20"/>
                <w:szCs w:val="20"/>
              </w:rPr>
              <w:t>.</w:t>
            </w:r>
            <w:r w:rsidR="00601DEF" w:rsidRPr="00274711">
              <w:rPr>
                <w:sz w:val="20"/>
                <w:szCs w:val="20"/>
              </w:rPr>
              <w:t xml:space="preserve"> </w:t>
            </w:r>
            <w:r w:rsidR="000C20CF" w:rsidRPr="00274711">
              <w:rPr>
                <w:sz w:val="20"/>
                <w:szCs w:val="20"/>
              </w:rPr>
              <w:t>At least some district leaders are certified appraisers</w:t>
            </w:r>
            <w:r w:rsidR="00274711">
              <w:rPr>
                <w:sz w:val="20"/>
                <w:szCs w:val="20"/>
              </w:rPr>
              <w:t>.</w:t>
            </w:r>
            <w:r w:rsidR="00CC6D01">
              <w:rPr>
                <w:sz w:val="20"/>
                <w:szCs w:val="20"/>
              </w:rPr>
              <w:t xml:space="preserve"> (Note: for districts with fewer than 3 appraisers districtwide, calibration component includes</w:t>
            </w:r>
            <w:r w:rsidR="00027126">
              <w:rPr>
                <w:sz w:val="20"/>
                <w:szCs w:val="20"/>
              </w:rPr>
              <w:t xml:space="preserve"> </w:t>
            </w:r>
            <w:r w:rsidR="002F31A3">
              <w:rPr>
                <w:sz w:val="20"/>
                <w:szCs w:val="20"/>
              </w:rPr>
              <w:t>partnering with additional trained appraisers, such as</w:t>
            </w:r>
            <w:r w:rsidR="00E934AF">
              <w:rPr>
                <w:sz w:val="20"/>
                <w:szCs w:val="20"/>
              </w:rPr>
              <w:t xml:space="preserve"> teacher leaders, ESC partners, etc.)</w:t>
            </w:r>
            <w:r w:rsidR="00653A3B">
              <w:rPr>
                <w:sz w:val="20"/>
                <w:szCs w:val="20"/>
              </w:rPr>
              <w:t xml:space="preserve"> </w:t>
            </w:r>
            <w:r w:rsidR="00653A3B" w:rsidRPr="00274711">
              <w:rPr>
                <w:sz w:val="20"/>
                <w:szCs w:val="20"/>
              </w:rPr>
              <w:t xml:space="preserve">Appraisers calibrate on scoring </w:t>
            </w:r>
            <w:r w:rsidR="00653A3B">
              <w:rPr>
                <w:sz w:val="20"/>
                <w:szCs w:val="20"/>
              </w:rPr>
              <w:t>using the district’s teacher observation rubric</w:t>
            </w:r>
            <w:r w:rsidR="00653A3B" w:rsidRPr="00274711">
              <w:rPr>
                <w:sz w:val="20"/>
                <w:szCs w:val="20"/>
              </w:rPr>
              <w:t xml:space="preserve"> at least annually by conducting a multi-appraiser observation either in-person on video</w:t>
            </w:r>
          </w:p>
        </w:tc>
      </w:tr>
      <w:tr w:rsidR="00ED72A6" w:rsidRPr="00ED72A6" w14:paraId="1EA6841A" w14:textId="77777777" w:rsidTr="000F401A">
        <w:tc>
          <w:tcPr>
            <w:tcW w:w="2515" w:type="dxa"/>
            <w:tcBorders>
              <w:top w:val="single" w:sz="4" w:space="0" w:color="FFFFFF" w:themeColor="background1"/>
              <w:left w:val="single" w:sz="4" w:space="0" w:color="FFFFFF" w:themeColor="background1"/>
              <w:bottom w:val="nil"/>
              <w:right w:val="single" w:sz="4" w:space="0" w:color="FFFFFF" w:themeColor="background1"/>
            </w:tcBorders>
            <w:shd w:val="clear" w:color="auto" w:fill="DEEAF6" w:themeFill="accent5" w:themeFillTint="33"/>
          </w:tcPr>
          <w:p w14:paraId="09178547" w14:textId="77CABD4F" w:rsidR="00ED72A6" w:rsidRPr="00D62DB6" w:rsidRDefault="00ED72A6" w:rsidP="00D62DB6">
            <w:pPr>
              <w:rPr>
                <w:b/>
                <w:bCs/>
              </w:rPr>
            </w:pPr>
            <w:r w:rsidRPr="00D62DB6">
              <w:rPr>
                <w:b/>
                <w:bCs/>
              </w:rPr>
              <w:t>District review of teacher observation trends</w:t>
            </w:r>
          </w:p>
          <w:p w14:paraId="66609E00" w14:textId="77777777" w:rsidR="00ED72A6" w:rsidRPr="00ED72A6" w:rsidRDefault="00ED72A6" w:rsidP="00D62DB6">
            <w:pPr>
              <w:rPr>
                <w:b/>
                <w:bCs/>
              </w:rPr>
            </w:pPr>
          </w:p>
          <w:p w14:paraId="239A6275" w14:textId="128F3804" w:rsidR="00ED72A6" w:rsidRPr="00ED72A6" w:rsidRDefault="00ED72A6" w:rsidP="00D62DB6">
            <w:pPr>
              <w:rPr>
                <w:i/>
                <w:iCs/>
              </w:rPr>
            </w:pPr>
          </w:p>
        </w:tc>
        <w:tc>
          <w:tcPr>
            <w:tcW w:w="3060" w:type="dxa"/>
            <w:tcBorders>
              <w:top w:val="single" w:sz="4" w:space="0" w:color="FFFFFF" w:themeColor="background1"/>
              <w:left w:val="single" w:sz="4" w:space="0" w:color="FFFFFF" w:themeColor="background1"/>
              <w:bottom w:val="nil"/>
              <w:right w:val="single" w:sz="4" w:space="0" w:color="FFFFFF" w:themeColor="background1"/>
            </w:tcBorders>
            <w:shd w:val="clear" w:color="auto" w:fill="FCDFD7" w:themeFill="accent2" w:themeFillTint="33"/>
          </w:tcPr>
          <w:p w14:paraId="74BFF107" w14:textId="74110F13" w:rsidR="00ED72A6" w:rsidRPr="00ED72A6" w:rsidRDefault="00ED72A6" w:rsidP="00ED72A6">
            <w:pPr>
              <w:rPr>
                <w:sz w:val="20"/>
                <w:szCs w:val="20"/>
              </w:rPr>
            </w:pPr>
            <w:r w:rsidRPr="00ED72A6">
              <w:rPr>
                <w:sz w:val="20"/>
                <w:szCs w:val="20"/>
              </w:rPr>
              <w:t>Principals do not review campus-based trends in teacher observation</w:t>
            </w:r>
            <w:r w:rsidR="00AA563D">
              <w:rPr>
                <w:sz w:val="20"/>
                <w:szCs w:val="20"/>
              </w:rPr>
              <w:t xml:space="preserve"> and</w:t>
            </w:r>
            <w:r w:rsidR="00CE63F6">
              <w:rPr>
                <w:sz w:val="20"/>
                <w:szCs w:val="20"/>
              </w:rPr>
              <w:t>/</w:t>
            </w:r>
            <w:r w:rsidR="00AA563D">
              <w:rPr>
                <w:sz w:val="20"/>
                <w:szCs w:val="20"/>
              </w:rPr>
              <w:t>or district leaders do not review districtwide trends</w:t>
            </w:r>
          </w:p>
        </w:tc>
        <w:tc>
          <w:tcPr>
            <w:tcW w:w="2610" w:type="dxa"/>
            <w:tcBorders>
              <w:top w:val="single" w:sz="4" w:space="0" w:color="FFFFFF" w:themeColor="background1"/>
              <w:left w:val="single" w:sz="4" w:space="0" w:color="FFFFFF" w:themeColor="background1"/>
              <w:bottom w:val="nil"/>
              <w:right w:val="single" w:sz="4" w:space="0" w:color="FFFFFF" w:themeColor="background1"/>
            </w:tcBorders>
            <w:shd w:val="clear" w:color="auto" w:fill="FDF4D4" w:themeFill="accent6" w:themeFillTint="33"/>
          </w:tcPr>
          <w:p w14:paraId="028E812C" w14:textId="6B7D1E26" w:rsidR="00ED72A6" w:rsidRPr="00ED72A6" w:rsidRDefault="00ED72A6" w:rsidP="00ED72A6">
            <w:pPr>
              <w:rPr>
                <w:sz w:val="20"/>
                <w:szCs w:val="20"/>
              </w:rPr>
            </w:pPr>
            <w:r w:rsidRPr="00ED72A6">
              <w:rPr>
                <w:sz w:val="20"/>
                <w:szCs w:val="20"/>
              </w:rPr>
              <w:t>Principals review campus-based teacher observation trends infrequently and/or do not require a campus- based plan to address trend issues</w:t>
            </w:r>
            <w:r w:rsidR="003A56BD">
              <w:rPr>
                <w:sz w:val="20"/>
                <w:szCs w:val="20"/>
              </w:rPr>
              <w:t xml:space="preserve">. District leaders review districtwide data infrequently and/or do not require a plan to address </w:t>
            </w:r>
            <w:r w:rsidR="00B32DB2">
              <w:rPr>
                <w:sz w:val="20"/>
                <w:szCs w:val="20"/>
              </w:rPr>
              <w:t>skew in districtwide observation trends</w:t>
            </w:r>
          </w:p>
        </w:tc>
        <w:tc>
          <w:tcPr>
            <w:tcW w:w="6390" w:type="dxa"/>
            <w:tcBorders>
              <w:top w:val="single" w:sz="4" w:space="0" w:color="FFFFFF" w:themeColor="background1"/>
              <w:left w:val="single" w:sz="4" w:space="0" w:color="FFFFFF" w:themeColor="background1"/>
              <w:bottom w:val="nil"/>
              <w:right w:val="single" w:sz="4" w:space="0" w:color="FFFFFF" w:themeColor="background1"/>
            </w:tcBorders>
            <w:shd w:val="clear" w:color="auto" w:fill="E9F4D9" w:themeFill="accent3" w:themeFillTint="33"/>
          </w:tcPr>
          <w:p w14:paraId="2C0032B8" w14:textId="4F3DF445" w:rsidR="00ED72A6" w:rsidRPr="00ED72A6" w:rsidRDefault="00ED72A6" w:rsidP="00500BE6">
            <w:pPr>
              <w:rPr>
                <w:sz w:val="20"/>
                <w:szCs w:val="20"/>
              </w:rPr>
            </w:pPr>
            <w:r w:rsidRPr="00ED72A6">
              <w:rPr>
                <w:sz w:val="20"/>
                <w:szCs w:val="20"/>
              </w:rPr>
              <w:t>Principals and principal supervisors review campus-based teacher observation trends at least quarterly by grade/subject</w:t>
            </w:r>
            <w:r w:rsidR="006D1DE2">
              <w:rPr>
                <w:sz w:val="20"/>
                <w:szCs w:val="20"/>
              </w:rPr>
              <w:t>/</w:t>
            </w:r>
            <w:r w:rsidRPr="00ED72A6">
              <w:rPr>
                <w:sz w:val="20"/>
                <w:szCs w:val="20"/>
              </w:rPr>
              <w:t xml:space="preserve">appraiser. Results </w:t>
            </w:r>
            <w:r w:rsidR="007A2FB1">
              <w:rPr>
                <w:sz w:val="20"/>
                <w:szCs w:val="20"/>
              </w:rPr>
              <w:t xml:space="preserve">are </w:t>
            </w:r>
            <w:r w:rsidRPr="00ED72A6">
              <w:rPr>
                <w:sz w:val="20"/>
                <w:szCs w:val="20"/>
              </w:rPr>
              <w:t>shared with campus based instructional leadership team, who address</w:t>
            </w:r>
            <w:r w:rsidR="001B395A">
              <w:rPr>
                <w:sz w:val="20"/>
                <w:szCs w:val="20"/>
              </w:rPr>
              <w:t>es</w:t>
            </w:r>
            <w:r w:rsidR="0048346F">
              <w:rPr>
                <w:sz w:val="20"/>
                <w:szCs w:val="20"/>
              </w:rPr>
              <w:t xml:space="preserve"> </w:t>
            </w:r>
            <w:r w:rsidRPr="00ED72A6">
              <w:rPr>
                <w:sz w:val="20"/>
                <w:szCs w:val="20"/>
              </w:rPr>
              <w:t>any issues of skew</w:t>
            </w:r>
            <w:r w:rsidR="004A130D">
              <w:rPr>
                <w:sz w:val="20"/>
                <w:szCs w:val="20"/>
              </w:rPr>
              <w:t xml:space="preserve">. </w:t>
            </w:r>
            <w:r w:rsidR="004A130D" w:rsidRPr="00230C15">
              <w:rPr>
                <w:sz w:val="20"/>
                <w:szCs w:val="20"/>
              </w:rPr>
              <w:t>Trend data shared with teachers</w:t>
            </w:r>
            <w:r w:rsidR="009A5C93" w:rsidRPr="00230C15">
              <w:rPr>
                <w:sz w:val="20"/>
                <w:szCs w:val="20"/>
              </w:rPr>
              <w:t xml:space="preserve"> when possible</w:t>
            </w:r>
            <w:r w:rsidR="00AA5D70" w:rsidRPr="00230C15">
              <w:rPr>
                <w:sz w:val="20"/>
                <w:szCs w:val="20"/>
              </w:rPr>
              <w:t>.</w:t>
            </w:r>
            <w:r w:rsidR="00826554">
              <w:rPr>
                <w:sz w:val="20"/>
                <w:szCs w:val="20"/>
              </w:rPr>
              <w:t xml:space="preserve"> District leaders review districtwide teacher observation trends at least quarterly by grade/su</w:t>
            </w:r>
            <w:r w:rsidR="006D1DE2">
              <w:rPr>
                <w:sz w:val="20"/>
                <w:szCs w:val="20"/>
              </w:rPr>
              <w:t>bject/campus/appraiser</w:t>
            </w:r>
            <w:r w:rsidR="00AB0D44">
              <w:rPr>
                <w:sz w:val="20"/>
                <w:szCs w:val="20"/>
              </w:rPr>
              <w:t>. Results shared at district level</w:t>
            </w:r>
            <w:r w:rsidR="00500BE6">
              <w:rPr>
                <w:sz w:val="20"/>
                <w:szCs w:val="20"/>
              </w:rPr>
              <w:t xml:space="preserve"> and there is a district plan to </w:t>
            </w:r>
            <w:r w:rsidR="00CD5B93">
              <w:rPr>
                <w:sz w:val="20"/>
                <w:szCs w:val="20"/>
              </w:rPr>
              <w:t>determine the root cause of the skew as well as</w:t>
            </w:r>
            <w:r w:rsidR="00500BE6">
              <w:rPr>
                <w:sz w:val="20"/>
                <w:szCs w:val="20"/>
              </w:rPr>
              <w:t xml:space="preserve"> address areas of skew</w:t>
            </w:r>
            <w:r w:rsidR="00CD5B93">
              <w:rPr>
                <w:sz w:val="20"/>
                <w:szCs w:val="20"/>
              </w:rPr>
              <w:t xml:space="preserve"> </w:t>
            </w:r>
            <w:r w:rsidR="00E55683">
              <w:rPr>
                <w:sz w:val="20"/>
                <w:szCs w:val="20"/>
              </w:rPr>
              <w:t>at both</w:t>
            </w:r>
            <w:r w:rsidR="00CD5B93">
              <w:rPr>
                <w:sz w:val="20"/>
                <w:szCs w:val="20"/>
              </w:rPr>
              <w:t xml:space="preserve"> the teacher</w:t>
            </w:r>
            <w:r w:rsidR="00246EA0">
              <w:rPr>
                <w:sz w:val="20"/>
                <w:szCs w:val="20"/>
              </w:rPr>
              <w:t xml:space="preserve"> and</w:t>
            </w:r>
            <w:r w:rsidR="00CD5B93">
              <w:rPr>
                <w:sz w:val="20"/>
                <w:szCs w:val="20"/>
              </w:rPr>
              <w:t xml:space="preserve"> the appraiser</w:t>
            </w:r>
            <w:r w:rsidR="009F1354">
              <w:rPr>
                <w:sz w:val="20"/>
                <w:szCs w:val="20"/>
              </w:rPr>
              <w:t xml:space="preserve"> levels</w:t>
            </w:r>
            <w:r w:rsidR="00E112F0">
              <w:rPr>
                <w:sz w:val="20"/>
                <w:szCs w:val="20"/>
              </w:rPr>
              <w:t>.</w:t>
            </w:r>
          </w:p>
        </w:tc>
      </w:tr>
      <w:tr w:rsidR="00D62DB6" w:rsidRPr="00ED72A6" w14:paraId="7548A71A" w14:textId="77777777" w:rsidTr="000F401A">
        <w:tc>
          <w:tcPr>
            <w:tcW w:w="2515" w:type="dxa"/>
            <w:tcBorders>
              <w:top w:val="nil"/>
              <w:left w:val="single" w:sz="4" w:space="0" w:color="FFFFFF" w:themeColor="background1"/>
              <w:bottom w:val="nil"/>
              <w:right w:val="single" w:sz="4" w:space="0" w:color="FFFFFF" w:themeColor="background1"/>
            </w:tcBorders>
            <w:shd w:val="clear" w:color="auto" w:fill="DEEAF6" w:themeFill="accent5" w:themeFillTint="33"/>
          </w:tcPr>
          <w:p w14:paraId="41024BA4" w14:textId="77777777" w:rsidR="00D62DB6" w:rsidRDefault="00D62DB6" w:rsidP="00D62DB6">
            <w:pPr>
              <w:rPr>
                <w:b/>
                <w:bCs/>
              </w:rPr>
            </w:pPr>
          </w:p>
          <w:p w14:paraId="361DE168" w14:textId="77777777" w:rsidR="00D62DB6" w:rsidRDefault="00D62DB6" w:rsidP="00D62DB6">
            <w:pPr>
              <w:rPr>
                <w:b/>
                <w:bCs/>
              </w:rPr>
            </w:pPr>
          </w:p>
          <w:p w14:paraId="5FB0F256" w14:textId="101CA620" w:rsidR="00D62DB6" w:rsidRPr="00D62DB6" w:rsidRDefault="00D62DB6" w:rsidP="00D62DB6">
            <w:pPr>
              <w:rPr>
                <w:b/>
                <w:bCs/>
              </w:rPr>
            </w:pPr>
          </w:p>
        </w:tc>
        <w:tc>
          <w:tcPr>
            <w:tcW w:w="3060" w:type="dxa"/>
            <w:tcBorders>
              <w:top w:val="nil"/>
              <w:left w:val="single" w:sz="4" w:space="0" w:color="FFFFFF" w:themeColor="background1"/>
              <w:bottom w:val="nil"/>
              <w:right w:val="nil"/>
            </w:tcBorders>
            <w:shd w:val="clear" w:color="auto" w:fill="FCDFD7" w:themeFill="accent2" w:themeFillTint="33"/>
          </w:tcPr>
          <w:p w14:paraId="224DC4AE" w14:textId="77777777" w:rsidR="00D62DB6" w:rsidRPr="00ED72A6" w:rsidRDefault="00D62DB6" w:rsidP="00ED72A6">
            <w:pPr>
              <w:rPr>
                <w:sz w:val="20"/>
                <w:szCs w:val="20"/>
              </w:rPr>
            </w:pPr>
          </w:p>
        </w:tc>
        <w:tc>
          <w:tcPr>
            <w:tcW w:w="2610" w:type="dxa"/>
            <w:tcBorders>
              <w:top w:val="nil"/>
              <w:left w:val="nil"/>
              <w:bottom w:val="nil"/>
              <w:right w:val="nil"/>
            </w:tcBorders>
            <w:shd w:val="clear" w:color="auto" w:fill="FDF4D4" w:themeFill="accent6" w:themeFillTint="33"/>
          </w:tcPr>
          <w:p w14:paraId="1C7F0F38" w14:textId="77777777" w:rsidR="00D62DB6" w:rsidRPr="00ED72A6" w:rsidRDefault="00D62DB6" w:rsidP="00ED72A6">
            <w:pPr>
              <w:rPr>
                <w:sz w:val="20"/>
                <w:szCs w:val="20"/>
              </w:rPr>
            </w:pPr>
          </w:p>
        </w:tc>
        <w:tc>
          <w:tcPr>
            <w:tcW w:w="6390" w:type="dxa"/>
            <w:tcBorders>
              <w:top w:val="nil"/>
              <w:left w:val="nil"/>
              <w:bottom w:val="nil"/>
              <w:right w:val="nil"/>
            </w:tcBorders>
            <w:shd w:val="clear" w:color="auto" w:fill="E9F4D9" w:themeFill="accent3" w:themeFillTint="33"/>
          </w:tcPr>
          <w:p w14:paraId="5177A02C" w14:textId="77777777" w:rsidR="00D62DB6" w:rsidRPr="00ED72A6" w:rsidRDefault="00D62DB6" w:rsidP="00ED72A6">
            <w:pPr>
              <w:rPr>
                <w:sz w:val="20"/>
                <w:szCs w:val="20"/>
              </w:rPr>
            </w:pPr>
          </w:p>
        </w:tc>
      </w:tr>
    </w:tbl>
    <w:p w14:paraId="2AB1FFA1" w14:textId="77777777" w:rsidR="00D62DB6" w:rsidRDefault="00D62DB6" w:rsidP="00ED72A6">
      <w:pPr>
        <w:rPr>
          <w:i/>
          <w:iCs/>
          <w:sz w:val="24"/>
          <w:szCs w:val="24"/>
        </w:rPr>
      </w:pPr>
    </w:p>
    <w:p w14:paraId="1F7E2CAE" w14:textId="62581C9B" w:rsidR="00D62DB6" w:rsidRDefault="00D62DB6" w:rsidP="00ED72A6">
      <w:pPr>
        <w:rPr>
          <w:i/>
          <w:iCs/>
          <w:sz w:val="24"/>
          <w:szCs w:val="24"/>
        </w:rPr>
      </w:pPr>
    </w:p>
    <w:p w14:paraId="694E3F52" w14:textId="77777777" w:rsidR="00AC63FB" w:rsidRDefault="00AC63FB" w:rsidP="00ED72A6">
      <w:pPr>
        <w:rPr>
          <w:i/>
          <w:iCs/>
          <w:sz w:val="24"/>
          <w:szCs w:val="24"/>
        </w:rPr>
      </w:pPr>
    </w:p>
    <w:tbl>
      <w:tblPr>
        <w:tblStyle w:val="TableGrid"/>
        <w:tblW w:w="0" w:type="auto"/>
        <w:tblLook w:val="04A0" w:firstRow="1" w:lastRow="0" w:firstColumn="1" w:lastColumn="0" w:noHBand="0" w:noVBand="1"/>
      </w:tblPr>
      <w:tblGrid>
        <w:gridCol w:w="2515"/>
        <w:gridCol w:w="3060"/>
        <w:gridCol w:w="2610"/>
        <w:gridCol w:w="5917"/>
      </w:tblGrid>
      <w:tr w:rsidR="000F401A" w14:paraId="6308A904" w14:textId="77777777" w:rsidTr="001C5131">
        <w:tc>
          <w:tcPr>
            <w:tcW w:w="2515"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0D6CB9" w:themeFill="text2"/>
          </w:tcPr>
          <w:p w14:paraId="53E0AACD" w14:textId="47356307" w:rsidR="000F401A" w:rsidRPr="00260FE5" w:rsidRDefault="000F401A" w:rsidP="000F401A">
            <w:pPr>
              <w:rPr>
                <w:i/>
                <w:iCs/>
                <w:color w:val="FFFFFF" w:themeColor="background1"/>
                <w:sz w:val="24"/>
                <w:szCs w:val="24"/>
              </w:rPr>
            </w:pPr>
            <w:r w:rsidRPr="00260FE5">
              <w:rPr>
                <w:b/>
                <w:bCs/>
                <w:color w:val="FFFFFF" w:themeColor="background1"/>
                <w:sz w:val="24"/>
                <w:szCs w:val="24"/>
              </w:rPr>
              <w:lastRenderedPageBreak/>
              <w:t>Component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16038" w:themeFill="accent2"/>
          </w:tcPr>
          <w:p w14:paraId="6D05574E" w14:textId="6624E878" w:rsidR="000F401A" w:rsidRDefault="000F401A" w:rsidP="000F401A">
            <w:pPr>
              <w:rPr>
                <w:i/>
                <w:iCs/>
                <w:sz w:val="24"/>
                <w:szCs w:val="24"/>
              </w:rPr>
            </w:pPr>
            <w:r w:rsidRPr="00663B4C">
              <w:rPr>
                <w:b/>
                <w:bCs/>
                <w:color w:val="242424" w:themeColor="text1"/>
                <w:sz w:val="24"/>
                <w:szCs w:val="24"/>
              </w:rPr>
              <w:t>Limited or No Readiness</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8CC2A" w:themeFill="accent6"/>
          </w:tcPr>
          <w:p w14:paraId="00F34D91" w14:textId="30F73722" w:rsidR="000F401A" w:rsidRDefault="000F401A" w:rsidP="000F401A">
            <w:pPr>
              <w:rPr>
                <w:i/>
                <w:iCs/>
                <w:sz w:val="24"/>
                <w:szCs w:val="24"/>
              </w:rPr>
            </w:pPr>
            <w:r w:rsidRPr="00ED72A6">
              <w:rPr>
                <w:b/>
                <w:bCs/>
                <w:sz w:val="24"/>
                <w:szCs w:val="24"/>
              </w:rPr>
              <w:t>Partial Readiness</w:t>
            </w: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2C841" w:themeFill="accent3"/>
          </w:tcPr>
          <w:p w14:paraId="10F35B77" w14:textId="170AF0A4" w:rsidR="000F401A" w:rsidRDefault="000F401A" w:rsidP="000F401A">
            <w:pPr>
              <w:rPr>
                <w:i/>
                <w:iCs/>
                <w:sz w:val="24"/>
                <w:szCs w:val="24"/>
              </w:rPr>
            </w:pPr>
            <w:r w:rsidRPr="00ED72A6">
              <w:rPr>
                <w:b/>
                <w:bCs/>
                <w:sz w:val="24"/>
                <w:szCs w:val="24"/>
              </w:rPr>
              <w:t>Full Readiness</w:t>
            </w:r>
          </w:p>
        </w:tc>
      </w:tr>
      <w:tr w:rsidR="000F401A" w14:paraId="7D1CFE33" w14:textId="77777777" w:rsidTr="000F401A">
        <w:tc>
          <w:tcPr>
            <w:tcW w:w="2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5EBC2FD4" w14:textId="77777777" w:rsidR="000F401A" w:rsidRPr="00D62DB6" w:rsidRDefault="000F401A" w:rsidP="000F401A">
            <w:pPr>
              <w:rPr>
                <w:b/>
                <w:bCs/>
              </w:rPr>
            </w:pPr>
            <w:r w:rsidRPr="00D62DB6">
              <w:rPr>
                <w:b/>
                <w:bCs/>
              </w:rPr>
              <w:t>District reviews correlation of teacher observation and student growth data and develops plan to address any issues</w:t>
            </w:r>
          </w:p>
          <w:p w14:paraId="7483B1DA" w14:textId="77777777" w:rsidR="000F401A" w:rsidRPr="00ED72A6" w:rsidRDefault="000F401A" w:rsidP="000F401A">
            <w:pPr>
              <w:rPr>
                <w:b/>
                <w:bCs/>
              </w:rPr>
            </w:pPr>
          </w:p>
          <w:p w14:paraId="5E48DA0D" w14:textId="77777777" w:rsidR="000F401A" w:rsidRDefault="000F401A" w:rsidP="000F401A">
            <w:pPr>
              <w:rPr>
                <w:i/>
                <w:iCs/>
                <w:sz w:val="24"/>
                <w:szCs w:val="24"/>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DFD7" w:themeFill="accent2" w:themeFillTint="33"/>
          </w:tcPr>
          <w:p w14:paraId="2BE213EB" w14:textId="7B4AF03A" w:rsidR="000F401A" w:rsidRDefault="000F401A" w:rsidP="000F401A">
            <w:pPr>
              <w:rPr>
                <w:i/>
                <w:iCs/>
                <w:sz w:val="24"/>
                <w:szCs w:val="24"/>
              </w:rPr>
            </w:pPr>
            <w:r w:rsidRPr="00ED72A6">
              <w:rPr>
                <w:sz w:val="20"/>
                <w:szCs w:val="20"/>
              </w:rPr>
              <w:t>District does not review co</w:t>
            </w:r>
            <w:r>
              <w:rPr>
                <w:sz w:val="20"/>
                <w:szCs w:val="20"/>
              </w:rPr>
              <w:t>rrelation</w:t>
            </w:r>
            <w:r w:rsidRPr="00ED72A6">
              <w:rPr>
                <w:sz w:val="20"/>
                <w:szCs w:val="20"/>
              </w:rPr>
              <w:t xml:space="preserve"> data</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F4D4" w:themeFill="accent6" w:themeFillTint="33"/>
          </w:tcPr>
          <w:p w14:paraId="1B22E721" w14:textId="04EEE0FA" w:rsidR="000F401A" w:rsidRDefault="000F401A" w:rsidP="000F401A">
            <w:pPr>
              <w:rPr>
                <w:i/>
                <w:iCs/>
                <w:sz w:val="24"/>
                <w:szCs w:val="24"/>
              </w:rPr>
            </w:pPr>
            <w:r w:rsidRPr="00ED72A6">
              <w:rPr>
                <w:sz w:val="20"/>
                <w:szCs w:val="20"/>
              </w:rPr>
              <w:t>District leaders review co</w:t>
            </w:r>
            <w:r>
              <w:rPr>
                <w:sz w:val="20"/>
                <w:szCs w:val="20"/>
              </w:rPr>
              <w:t>rrelation</w:t>
            </w:r>
            <w:r w:rsidRPr="00ED72A6">
              <w:rPr>
                <w:sz w:val="20"/>
                <w:szCs w:val="20"/>
              </w:rPr>
              <w:t xml:space="preserve"> data, but do not require school leaders to review campus-based data and/or there is no actionable plan to </w:t>
            </w:r>
            <w:r>
              <w:rPr>
                <w:sz w:val="20"/>
                <w:szCs w:val="20"/>
              </w:rPr>
              <w:t xml:space="preserve">determine the root cause of the lack or correlation or </w:t>
            </w:r>
            <w:r w:rsidRPr="00ED72A6">
              <w:rPr>
                <w:sz w:val="20"/>
                <w:szCs w:val="20"/>
              </w:rPr>
              <w:t xml:space="preserve">address issues with </w:t>
            </w:r>
            <w:r>
              <w:rPr>
                <w:sz w:val="20"/>
                <w:szCs w:val="20"/>
              </w:rPr>
              <w:t>the lack of correlation</w:t>
            </w: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4D9" w:themeFill="accent3" w:themeFillTint="33"/>
          </w:tcPr>
          <w:p w14:paraId="25099EC7" w14:textId="5B398CB1" w:rsidR="000F401A" w:rsidRDefault="000F401A" w:rsidP="000F401A">
            <w:pPr>
              <w:rPr>
                <w:i/>
                <w:iCs/>
                <w:sz w:val="24"/>
                <w:szCs w:val="24"/>
              </w:rPr>
            </w:pPr>
            <w:r w:rsidRPr="00ED72A6">
              <w:rPr>
                <w:sz w:val="20"/>
                <w:szCs w:val="20"/>
              </w:rPr>
              <w:t>District and campus leaders review co</w:t>
            </w:r>
            <w:r>
              <w:rPr>
                <w:sz w:val="20"/>
                <w:szCs w:val="20"/>
              </w:rPr>
              <w:t>rrelation</w:t>
            </w:r>
            <w:r w:rsidRPr="00ED72A6">
              <w:rPr>
                <w:sz w:val="20"/>
                <w:szCs w:val="20"/>
              </w:rPr>
              <w:t xml:space="preserve"> data at the campus and district level at least once a year and develop </w:t>
            </w:r>
            <w:r>
              <w:rPr>
                <w:sz w:val="20"/>
                <w:szCs w:val="20"/>
              </w:rPr>
              <w:t xml:space="preserve">a plan to determine the root cause of any lack of correlation. District identifies whether the root cause stems from teacher observation or from the student growth measure being used, or both, as well as an </w:t>
            </w:r>
            <w:r w:rsidRPr="00ED72A6">
              <w:rPr>
                <w:sz w:val="20"/>
                <w:szCs w:val="20"/>
              </w:rPr>
              <w:t>actionable plan to address any issues with skew</w:t>
            </w:r>
            <w:r>
              <w:rPr>
                <w:sz w:val="20"/>
                <w:szCs w:val="20"/>
              </w:rPr>
              <w:t>.</w:t>
            </w:r>
          </w:p>
        </w:tc>
      </w:tr>
      <w:tr w:rsidR="008969AD" w14:paraId="4571315E" w14:textId="77777777" w:rsidTr="008969AD">
        <w:tc>
          <w:tcPr>
            <w:tcW w:w="2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49D75324" w14:textId="77777777" w:rsidR="000F401A" w:rsidRPr="00D62DB6" w:rsidRDefault="000F401A" w:rsidP="000F401A">
            <w:pPr>
              <w:rPr>
                <w:b/>
                <w:bCs/>
              </w:rPr>
            </w:pPr>
            <w:r w:rsidRPr="00D62DB6">
              <w:rPr>
                <w:b/>
                <w:bCs/>
              </w:rPr>
              <w:t>Observation/feedback schedule</w:t>
            </w:r>
          </w:p>
          <w:p w14:paraId="649D7B0C" w14:textId="77777777" w:rsidR="000F401A" w:rsidRPr="00ED72A6" w:rsidRDefault="000F401A" w:rsidP="000F401A">
            <w:pPr>
              <w:rPr>
                <w:b/>
                <w:bCs/>
              </w:rPr>
            </w:pPr>
          </w:p>
          <w:p w14:paraId="5C50D66C" w14:textId="77777777" w:rsidR="000F401A" w:rsidRDefault="000F401A" w:rsidP="000F401A">
            <w:pPr>
              <w:rPr>
                <w:i/>
                <w:iCs/>
                <w:sz w:val="24"/>
                <w:szCs w:val="24"/>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DFD7" w:themeFill="accent2" w:themeFillTint="33"/>
          </w:tcPr>
          <w:p w14:paraId="243EDCA8" w14:textId="08865594" w:rsidR="000F401A" w:rsidRDefault="000F401A" w:rsidP="000F401A">
            <w:pPr>
              <w:rPr>
                <w:i/>
                <w:iCs/>
                <w:sz w:val="24"/>
                <w:szCs w:val="24"/>
              </w:rPr>
            </w:pPr>
            <w:r w:rsidRPr="00ED72A6">
              <w:rPr>
                <w:sz w:val="20"/>
                <w:szCs w:val="20"/>
              </w:rPr>
              <w:t>Teachers are not appraised annually, and/or teachers do not receive written feedback</w:t>
            </w:r>
            <w:r>
              <w:rPr>
                <w:sz w:val="20"/>
                <w:szCs w:val="20"/>
              </w:rPr>
              <w:t xml:space="preserve">. District does not comply with </w:t>
            </w:r>
            <w:r>
              <w:rPr>
                <w:rFonts w:cstheme="minorHAnsi"/>
                <w:sz w:val="20"/>
                <w:szCs w:val="20"/>
              </w:rPr>
              <w:t>§</w:t>
            </w:r>
            <w:r>
              <w:rPr>
                <w:sz w:val="20"/>
                <w:szCs w:val="20"/>
              </w:rPr>
              <w:t xml:space="preserve">21.351 or </w:t>
            </w:r>
            <w:r>
              <w:rPr>
                <w:rFonts w:cstheme="minorHAnsi"/>
                <w:sz w:val="20"/>
                <w:szCs w:val="20"/>
              </w:rPr>
              <w:t>§</w:t>
            </w:r>
            <w:r>
              <w:rPr>
                <w:sz w:val="20"/>
                <w:szCs w:val="20"/>
              </w:rPr>
              <w:t>21.352</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F4D4" w:themeFill="accent6" w:themeFillTint="33"/>
          </w:tcPr>
          <w:p w14:paraId="1AA3D055" w14:textId="248DB68E" w:rsidR="000F401A" w:rsidRDefault="000F401A" w:rsidP="000F401A">
            <w:pPr>
              <w:rPr>
                <w:i/>
                <w:iCs/>
                <w:sz w:val="24"/>
                <w:szCs w:val="24"/>
              </w:rPr>
            </w:pPr>
            <w:r w:rsidRPr="00ED72A6">
              <w:rPr>
                <w:sz w:val="20"/>
                <w:szCs w:val="20"/>
              </w:rPr>
              <w:t>Some teachers receive at least one 45 min. observation including scores on all observable domains, with no other scored observations or feedback annually</w:t>
            </w: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4D9" w:themeFill="accent3" w:themeFillTint="33"/>
          </w:tcPr>
          <w:p w14:paraId="6BA12A5E" w14:textId="77777777" w:rsidR="000F401A" w:rsidRPr="00ED72A6" w:rsidRDefault="000F401A" w:rsidP="000F401A">
            <w:pPr>
              <w:rPr>
                <w:sz w:val="20"/>
                <w:szCs w:val="20"/>
              </w:rPr>
            </w:pPr>
            <w:r w:rsidRPr="00ED72A6">
              <w:rPr>
                <w:sz w:val="20"/>
                <w:szCs w:val="20"/>
              </w:rPr>
              <w:t>All teachers</w:t>
            </w:r>
            <w:r>
              <w:rPr>
                <w:sz w:val="20"/>
                <w:szCs w:val="20"/>
              </w:rPr>
              <w:t xml:space="preserve"> in eligible teaching assignments</w:t>
            </w:r>
            <w:r w:rsidRPr="00ED72A6">
              <w:rPr>
                <w:sz w:val="20"/>
                <w:szCs w:val="20"/>
              </w:rPr>
              <w:t xml:space="preserve"> receive at least one 45 min. </w:t>
            </w:r>
            <w:r>
              <w:rPr>
                <w:sz w:val="20"/>
                <w:szCs w:val="20"/>
              </w:rPr>
              <w:t>o</w:t>
            </w:r>
            <w:r w:rsidRPr="797B0BF8">
              <w:rPr>
                <w:sz w:val="20"/>
                <w:szCs w:val="20"/>
              </w:rPr>
              <w:t>bservation</w:t>
            </w:r>
            <w:r w:rsidRPr="00ED72A6">
              <w:rPr>
                <w:sz w:val="20"/>
                <w:szCs w:val="20"/>
              </w:rPr>
              <w:t xml:space="preserve"> or multiple observations that aggregate to 45 min. during their data capture year, including scores on all observable domains</w:t>
            </w:r>
            <w:r>
              <w:rPr>
                <w:sz w:val="20"/>
                <w:szCs w:val="20"/>
              </w:rPr>
              <w:t xml:space="preserve">. Full teacher observation and student growth measures are required for </w:t>
            </w:r>
            <w:r w:rsidRPr="008C0211">
              <w:rPr>
                <w:b/>
                <w:bCs/>
                <w:sz w:val="20"/>
                <w:szCs w:val="20"/>
              </w:rPr>
              <w:t>all teachers in eligible teaching assignments</w:t>
            </w:r>
            <w:r>
              <w:rPr>
                <w:sz w:val="20"/>
                <w:szCs w:val="20"/>
              </w:rPr>
              <w:t xml:space="preserve"> during the data capture year. If using multi-year appraisal system, both teacher observation data and student growth data are from the same school year. </w:t>
            </w:r>
          </w:p>
          <w:p w14:paraId="197C024E" w14:textId="20E34E9D" w:rsidR="000F401A" w:rsidRDefault="000F401A" w:rsidP="000F401A">
            <w:pPr>
              <w:rPr>
                <w:i/>
                <w:iCs/>
                <w:sz w:val="24"/>
                <w:szCs w:val="24"/>
              </w:rPr>
            </w:pPr>
            <w:r w:rsidRPr="00F3567E">
              <w:rPr>
                <w:sz w:val="20"/>
                <w:szCs w:val="20"/>
              </w:rPr>
              <w:t>**Encouraged best practice: Teachers receive multiple scored observations annually. Teachers receive multiple partial observations/spot observations with written feedback and a verbal conference for all scored observations</w:t>
            </w:r>
            <w:r>
              <w:rPr>
                <w:sz w:val="20"/>
                <w:szCs w:val="20"/>
              </w:rPr>
              <w:t>.</w:t>
            </w:r>
          </w:p>
        </w:tc>
      </w:tr>
      <w:tr w:rsidR="000F401A" w14:paraId="1C9B8527" w14:textId="77777777" w:rsidTr="008969AD">
        <w:tc>
          <w:tcPr>
            <w:tcW w:w="25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EEAF6" w:themeFill="accent5" w:themeFillTint="33"/>
          </w:tcPr>
          <w:p w14:paraId="227FC47B" w14:textId="4B4B9741" w:rsidR="000F401A" w:rsidRDefault="000F401A" w:rsidP="000F401A">
            <w:pPr>
              <w:rPr>
                <w:i/>
                <w:iCs/>
                <w:sz w:val="24"/>
                <w:szCs w:val="24"/>
              </w:rPr>
            </w:pPr>
            <w:r w:rsidRPr="00D62DB6">
              <w:rPr>
                <w:b/>
              </w:rPr>
              <w:t>Alignment to Statewide Performance Standards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CDFD7" w:themeFill="accent2" w:themeFillTint="33"/>
          </w:tcPr>
          <w:p w14:paraId="1AA17AA7" w14:textId="2DF677A0" w:rsidR="000F401A" w:rsidRDefault="000F401A" w:rsidP="000F401A">
            <w:pPr>
              <w:rPr>
                <w:i/>
                <w:iCs/>
                <w:sz w:val="24"/>
                <w:szCs w:val="24"/>
              </w:rPr>
            </w:pPr>
            <w:r w:rsidRPr="00283469">
              <w:rPr>
                <w:sz w:val="20"/>
                <w:szCs w:val="20"/>
              </w:rPr>
              <w:t>District does not use the statewide performance standards</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DF4D4" w:themeFill="accent6" w:themeFillTint="33"/>
          </w:tcPr>
          <w:p w14:paraId="3FEB1596" w14:textId="6357F4E3" w:rsidR="000F401A" w:rsidRDefault="000F401A" w:rsidP="000F401A">
            <w:pPr>
              <w:rPr>
                <w:i/>
                <w:iCs/>
                <w:sz w:val="24"/>
                <w:szCs w:val="24"/>
              </w:rPr>
            </w:pPr>
            <w:r w:rsidRPr="00283469">
              <w:rPr>
                <w:sz w:val="20"/>
                <w:szCs w:val="20"/>
              </w:rPr>
              <w:t>Statewide performance standards are used</w:t>
            </w:r>
            <w:r>
              <w:rPr>
                <w:sz w:val="20"/>
                <w:szCs w:val="20"/>
              </w:rPr>
              <w:t xml:space="preserve"> inconsistently</w:t>
            </w:r>
          </w:p>
        </w:tc>
        <w:tc>
          <w:tcPr>
            <w:tcW w:w="5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9F4D9" w:themeFill="accent3" w:themeFillTint="33"/>
          </w:tcPr>
          <w:p w14:paraId="38A7E8D2" w14:textId="405A9868" w:rsidR="000F401A" w:rsidRDefault="000F401A" w:rsidP="000F401A">
            <w:pPr>
              <w:rPr>
                <w:i/>
                <w:iCs/>
                <w:sz w:val="24"/>
                <w:szCs w:val="24"/>
              </w:rPr>
            </w:pPr>
            <w:r w:rsidRPr="00283469">
              <w:rPr>
                <w:sz w:val="20"/>
                <w:szCs w:val="20"/>
              </w:rPr>
              <w:t xml:space="preserve">District aligns teacher observation data to the statewide performance standards </w:t>
            </w:r>
            <w:r>
              <w:rPr>
                <w:sz w:val="20"/>
                <w:szCs w:val="20"/>
              </w:rPr>
              <w:t>for teacher observation.</w:t>
            </w:r>
          </w:p>
        </w:tc>
      </w:tr>
    </w:tbl>
    <w:p w14:paraId="707DD0F7" w14:textId="77777777" w:rsidR="00D62DB6" w:rsidRDefault="00D62DB6" w:rsidP="00ED72A6">
      <w:pPr>
        <w:rPr>
          <w:i/>
          <w:iCs/>
          <w:sz w:val="24"/>
          <w:szCs w:val="24"/>
        </w:rPr>
      </w:pPr>
    </w:p>
    <w:p w14:paraId="4D5712E2" w14:textId="77777777" w:rsidR="00D62DB6" w:rsidRDefault="00D62DB6" w:rsidP="00ED72A6">
      <w:pPr>
        <w:rPr>
          <w:i/>
          <w:iCs/>
          <w:sz w:val="24"/>
          <w:szCs w:val="24"/>
        </w:rPr>
      </w:pPr>
    </w:p>
    <w:p w14:paraId="596DB28F" w14:textId="77777777" w:rsidR="00D62DB6" w:rsidRDefault="00D62DB6" w:rsidP="00ED72A6">
      <w:pPr>
        <w:rPr>
          <w:i/>
          <w:iCs/>
          <w:sz w:val="24"/>
          <w:szCs w:val="24"/>
        </w:rPr>
      </w:pPr>
    </w:p>
    <w:p w14:paraId="10267360" w14:textId="7E9E5DCD" w:rsidR="00D62DB6" w:rsidRDefault="00D62DB6" w:rsidP="00ED72A6">
      <w:pPr>
        <w:rPr>
          <w:i/>
          <w:iCs/>
          <w:sz w:val="24"/>
          <w:szCs w:val="24"/>
        </w:rPr>
      </w:pPr>
    </w:p>
    <w:p w14:paraId="1C81764A" w14:textId="3D24A845" w:rsidR="00AF13AA" w:rsidRDefault="00AF13AA" w:rsidP="00ED72A6">
      <w:pPr>
        <w:rPr>
          <w:i/>
          <w:iCs/>
          <w:sz w:val="24"/>
          <w:szCs w:val="24"/>
        </w:rPr>
      </w:pPr>
    </w:p>
    <w:p w14:paraId="42582D38" w14:textId="52903E83" w:rsidR="00260FE5" w:rsidRDefault="00260FE5" w:rsidP="00ED72A6">
      <w:pPr>
        <w:rPr>
          <w:i/>
          <w:iCs/>
          <w:sz w:val="24"/>
          <w:szCs w:val="24"/>
        </w:rPr>
      </w:pPr>
    </w:p>
    <w:p w14:paraId="02BB0A93" w14:textId="77777777" w:rsidR="00AC63FB" w:rsidRDefault="00AC63FB" w:rsidP="00ED72A6">
      <w:pPr>
        <w:rPr>
          <w:i/>
          <w:iCs/>
          <w:sz w:val="24"/>
          <w:szCs w:val="24"/>
        </w:rPr>
      </w:pPr>
    </w:p>
    <w:p w14:paraId="26F46BEA" w14:textId="77777777" w:rsidR="00AC63FB" w:rsidRDefault="00AC63FB" w:rsidP="00ED72A6">
      <w:pPr>
        <w:rPr>
          <w:i/>
          <w:iCs/>
          <w:sz w:val="24"/>
          <w:szCs w:val="24"/>
        </w:rPr>
      </w:pPr>
    </w:p>
    <w:p w14:paraId="6472CEFB" w14:textId="2E24E25F" w:rsidR="00ED72A6" w:rsidRPr="00D62DB6" w:rsidRDefault="00ED72A6" w:rsidP="00D62DB6">
      <w:pPr>
        <w:spacing w:after="0"/>
        <w:rPr>
          <w:b/>
          <w:bCs/>
          <w:sz w:val="24"/>
          <w:szCs w:val="24"/>
        </w:rPr>
      </w:pPr>
      <w:r w:rsidRPr="00D62DB6">
        <w:rPr>
          <w:b/>
          <w:bCs/>
          <w:sz w:val="24"/>
          <w:szCs w:val="24"/>
        </w:rPr>
        <w:t>Full Readiness required for all indicators of this component</w:t>
      </w:r>
    </w:p>
    <w:p w14:paraId="50C47D1F" w14:textId="77777777" w:rsidR="00ED72A6" w:rsidRDefault="00ED72A6" w:rsidP="00D62DB6">
      <w:pPr>
        <w:spacing w:after="0"/>
        <w:rPr>
          <w:sz w:val="24"/>
          <w:szCs w:val="24"/>
        </w:rPr>
      </w:pPr>
      <w:r w:rsidRPr="00ED72A6">
        <w:rPr>
          <w:sz w:val="24"/>
          <w:szCs w:val="24"/>
        </w:rPr>
        <w:t>Valid and Reliable Measures of Student Growth</w:t>
      </w:r>
    </w:p>
    <w:p w14:paraId="0F25A2DD" w14:textId="4DBECE29" w:rsidR="008A7948" w:rsidRPr="00ED72A6" w:rsidRDefault="008A7948" w:rsidP="00D62DB6">
      <w:pPr>
        <w:spacing w:after="0"/>
        <w:rPr>
          <w:sz w:val="24"/>
          <w:szCs w:val="24"/>
        </w:rPr>
      </w:pPr>
    </w:p>
    <w:tbl>
      <w:tblPr>
        <w:tblStyle w:val="TableGrid"/>
        <w:tblW w:w="14575" w:type="dxa"/>
        <w:tblLook w:val="04A0" w:firstRow="1" w:lastRow="0" w:firstColumn="1" w:lastColumn="0" w:noHBand="0" w:noVBand="1"/>
      </w:tblPr>
      <w:tblGrid>
        <w:gridCol w:w="2515"/>
        <w:gridCol w:w="2970"/>
        <w:gridCol w:w="2610"/>
        <w:gridCol w:w="6480"/>
      </w:tblGrid>
      <w:tr w:rsidR="00ED72A6" w:rsidRPr="00ED72A6" w14:paraId="6DFCAB9D" w14:textId="77777777" w:rsidTr="00342C78">
        <w:trPr>
          <w:trHeight w:val="260"/>
        </w:trPr>
        <w:tc>
          <w:tcPr>
            <w:tcW w:w="2515" w:type="dxa"/>
            <w:tcBorders>
              <w:top w:val="single" w:sz="4" w:space="0" w:color="FFFFFF"/>
              <w:left w:val="single" w:sz="4" w:space="0" w:color="FFFFFF"/>
              <w:bottom w:val="single" w:sz="4" w:space="0" w:color="FFFFFF"/>
              <w:right w:val="single" w:sz="4" w:space="0" w:color="FFFFFF"/>
            </w:tcBorders>
            <w:shd w:val="clear" w:color="auto" w:fill="0D6CB9" w:themeFill="text2"/>
          </w:tcPr>
          <w:p w14:paraId="1D00E8DA" w14:textId="77777777" w:rsidR="00ED72A6" w:rsidRPr="00ED72A6" w:rsidRDefault="00ED72A6" w:rsidP="00ED72A6">
            <w:pPr>
              <w:rPr>
                <w:b/>
                <w:bCs/>
                <w:sz w:val="24"/>
                <w:szCs w:val="24"/>
              </w:rPr>
            </w:pPr>
            <w:r w:rsidRPr="001C5131">
              <w:rPr>
                <w:b/>
                <w:bCs/>
                <w:color w:val="FFFFFF" w:themeColor="background1"/>
                <w:sz w:val="24"/>
                <w:szCs w:val="24"/>
              </w:rPr>
              <w:t>Component</w:t>
            </w:r>
          </w:p>
        </w:tc>
        <w:tc>
          <w:tcPr>
            <w:tcW w:w="2970" w:type="dxa"/>
            <w:tcBorders>
              <w:top w:val="single" w:sz="4" w:space="0" w:color="FFFFFF"/>
              <w:left w:val="single" w:sz="4" w:space="0" w:color="FFFFFF"/>
              <w:bottom w:val="single" w:sz="4" w:space="0" w:color="FFFFFF"/>
              <w:right w:val="single" w:sz="4" w:space="0" w:color="FFFFFF"/>
            </w:tcBorders>
            <w:shd w:val="clear" w:color="auto" w:fill="F16038" w:themeFill="accent2"/>
          </w:tcPr>
          <w:p w14:paraId="46F1BDD3" w14:textId="77777777" w:rsidR="00ED72A6" w:rsidRPr="00ED72A6" w:rsidRDefault="00ED72A6" w:rsidP="00ED72A6">
            <w:pPr>
              <w:rPr>
                <w:b/>
                <w:bCs/>
                <w:sz w:val="24"/>
                <w:szCs w:val="24"/>
              </w:rPr>
            </w:pPr>
            <w:r w:rsidRPr="00663B4C">
              <w:rPr>
                <w:b/>
                <w:bCs/>
                <w:color w:val="242424" w:themeColor="text1"/>
                <w:sz w:val="24"/>
                <w:szCs w:val="24"/>
              </w:rPr>
              <w:t>Limited or no Readiness</w:t>
            </w:r>
          </w:p>
        </w:tc>
        <w:tc>
          <w:tcPr>
            <w:tcW w:w="2610" w:type="dxa"/>
            <w:tcBorders>
              <w:top w:val="single" w:sz="4" w:space="0" w:color="FFFFFF"/>
              <w:left w:val="single" w:sz="4" w:space="0" w:color="FFFFFF"/>
              <w:bottom w:val="single" w:sz="4" w:space="0" w:color="FFFFFF"/>
              <w:right w:val="single" w:sz="4" w:space="0" w:color="FFFFFF"/>
            </w:tcBorders>
            <w:shd w:val="clear" w:color="auto" w:fill="F8CC2A" w:themeFill="accent6"/>
          </w:tcPr>
          <w:p w14:paraId="430C1E32" w14:textId="77777777" w:rsidR="00ED72A6" w:rsidRPr="00ED72A6" w:rsidRDefault="00ED72A6" w:rsidP="00ED72A6">
            <w:pPr>
              <w:rPr>
                <w:b/>
                <w:bCs/>
                <w:sz w:val="24"/>
                <w:szCs w:val="24"/>
              </w:rPr>
            </w:pPr>
            <w:r w:rsidRPr="00ED72A6">
              <w:rPr>
                <w:b/>
                <w:bCs/>
                <w:sz w:val="24"/>
                <w:szCs w:val="24"/>
              </w:rPr>
              <w:t>Partial Readiness</w:t>
            </w:r>
          </w:p>
        </w:tc>
        <w:tc>
          <w:tcPr>
            <w:tcW w:w="6480" w:type="dxa"/>
            <w:tcBorders>
              <w:top w:val="single" w:sz="4" w:space="0" w:color="FFFFFF"/>
              <w:left w:val="single" w:sz="4" w:space="0" w:color="FFFFFF"/>
              <w:bottom w:val="single" w:sz="4" w:space="0" w:color="FFFFFF"/>
              <w:right w:val="single" w:sz="4" w:space="0" w:color="FFFFFF"/>
            </w:tcBorders>
            <w:shd w:val="clear" w:color="auto" w:fill="92C841" w:themeFill="accent3"/>
          </w:tcPr>
          <w:p w14:paraId="42EF3623" w14:textId="77777777" w:rsidR="00ED72A6" w:rsidRPr="00ED72A6" w:rsidRDefault="00ED72A6" w:rsidP="00ED72A6">
            <w:pPr>
              <w:rPr>
                <w:b/>
                <w:bCs/>
                <w:sz w:val="24"/>
                <w:szCs w:val="24"/>
              </w:rPr>
            </w:pPr>
            <w:r w:rsidRPr="00ED72A6">
              <w:rPr>
                <w:b/>
                <w:bCs/>
                <w:sz w:val="24"/>
                <w:szCs w:val="24"/>
              </w:rPr>
              <w:t xml:space="preserve">Full Readiness </w:t>
            </w:r>
          </w:p>
        </w:tc>
      </w:tr>
      <w:tr w:rsidR="001C5131" w:rsidRPr="00ED72A6" w14:paraId="18645540" w14:textId="77777777" w:rsidTr="001C5131">
        <w:tc>
          <w:tcPr>
            <w:tcW w:w="251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283FFEC5" w14:textId="52A4A5F6" w:rsidR="00ED72A6" w:rsidRPr="00D62DB6" w:rsidRDefault="00481D9C" w:rsidP="00D62DB6">
            <w:pPr>
              <w:rPr>
                <w:b/>
                <w:bCs/>
              </w:rPr>
            </w:pPr>
            <w:r w:rsidRPr="00D62DB6">
              <w:rPr>
                <w:b/>
                <w:bCs/>
              </w:rPr>
              <w:t>Valid and reliable s</w:t>
            </w:r>
            <w:r w:rsidR="00ED72A6" w:rsidRPr="00D62DB6">
              <w:rPr>
                <w:b/>
                <w:bCs/>
              </w:rPr>
              <w:t>tudent growth measure used for each eligible teach</w:t>
            </w:r>
            <w:r w:rsidRPr="00D62DB6">
              <w:rPr>
                <w:b/>
                <w:bCs/>
              </w:rPr>
              <w:t>ing assignment</w:t>
            </w:r>
          </w:p>
        </w:tc>
        <w:tc>
          <w:tcPr>
            <w:tcW w:w="297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3A1DA6C1" w14:textId="32194646" w:rsidR="00ED72A6" w:rsidRPr="00ED72A6" w:rsidRDefault="00ED72A6" w:rsidP="00ED72A6">
            <w:pPr>
              <w:rPr>
                <w:sz w:val="20"/>
                <w:szCs w:val="20"/>
              </w:rPr>
            </w:pPr>
            <w:r w:rsidRPr="00ED72A6">
              <w:rPr>
                <w:sz w:val="20"/>
                <w:szCs w:val="20"/>
              </w:rPr>
              <w:t>District does not use state approved or nationally normed student growth measures and/or student growth measures are not standards aligned for any eligible teacher groups</w:t>
            </w:r>
            <w:r w:rsidR="00CA407A">
              <w:rPr>
                <w:sz w:val="20"/>
                <w:szCs w:val="20"/>
              </w:rPr>
              <w:t xml:space="preserve">. </w:t>
            </w:r>
          </w:p>
        </w:tc>
        <w:tc>
          <w:tcPr>
            <w:tcW w:w="261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E931621" w14:textId="104F8752" w:rsidR="00ED72A6" w:rsidRPr="00ED72A6" w:rsidRDefault="00ED72A6" w:rsidP="00ED72A6">
            <w:pPr>
              <w:rPr>
                <w:sz w:val="20"/>
                <w:szCs w:val="20"/>
              </w:rPr>
            </w:pPr>
            <w:r w:rsidRPr="00ED72A6">
              <w:rPr>
                <w:sz w:val="20"/>
                <w:szCs w:val="20"/>
              </w:rPr>
              <w:t>District uses state approved or nationally normed student growth measures for some eligible teacher groups, but not all</w:t>
            </w:r>
            <w:r w:rsidR="00CA407A">
              <w:rPr>
                <w:sz w:val="20"/>
                <w:szCs w:val="20"/>
              </w:rPr>
              <w:t xml:space="preserve">. </w:t>
            </w:r>
          </w:p>
        </w:tc>
        <w:tc>
          <w:tcPr>
            <w:tcW w:w="648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12105A49" w14:textId="0410B502" w:rsidR="00ED72A6" w:rsidRPr="00A313CB" w:rsidRDefault="00ED72A6" w:rsidP="00ED72A6">
            <w:pPr>
              <w:rPr>
                <w:sz w:val="20"/>
                <w:szCs w:val="20"/>
              </w:rPr>
            </w:pPr>
            <w:r w:rsidRPr="00ED72A6">
              <w:rPr>
                <w:sz w:val="20"/>
                <w:szCs w:val="20"/>
              </w:rPr>
              <w:t xml:space="preserve">District uses state approved or nationally normed, standards-aligned student growth measures for all eligible </w:t>
            </w:r>
            <w:r w:rsidR="00C212A1">
              <w:rPr>
                <w:sz w:val="20"/>
                <w:szCs w:val="20"/>
              </w:rPr>
              <w:t>teaching assignments.</w:t>
            </w:r>
            <w:r w:rsidR="00D108A6">
              <w:rPr>
                <w:sz w:val="20"/>
                <w:szCs w:val="20"/>
              </w:rPr>
              <w:t xml:space="preserve"> Teacher input was gathered and considered</w:t>
            </w:r>
            <w:r w:rsidR="001F09EA">
              <w:rPr>
                <w:sz w:val="20"/>
                <w:szCs w:val="20"/>
              </w:rPr>
              <w:t xml:space="preserve"> in the determination of which student growth measure would be used for each eligible teaching assignment</w:t>
            </w:r>
            <w:r w:rsidR="00636BD3">
              <w:rPr>
                <w:sz w:val="20"/>
                <w:szCs w:val="20"/>
              </w:rPr>
              <w:t xml:space="preserve"> </w:t>
            </w:r>
          </w:p>
        </w:tc>
      </w:tr>
      <w:tr w:rsidR="00865B6E" w:rsidRPr="00ED72A6" w14:paraId="1B646C23" w14:textId="77777777" w:rsidTr="001C5131">
        <w:tc>
          <w:tcPr>
            <w:tcW w:w="251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46BD9965" w14:textId="55E63393" w:rsidR="00865B6E" w:rsidRPr="00D62DB6" w:rsidRDefault="009648E0" w:rsidP="00D62DB6">
            <w:pPr>
              <w:rPr>
                <w:b/>
                <w:bCs/>
              </w:rPr>
            </w:pPr>
            <w:r w:rsidRPr="00D62DB6">
              <w:rPr>
                <w:b/>
                <w:bCs/>
              </w:rPr>
              <w:t xml:space="preserve">Teacher Student Growth </w:t>
            </w:r>
            <w:r w:rsidR="00EA5326" w:rsidRPr="00D62DB6">
              <w:rPr>
                <w:b/>
                <w:bCs/>
              </w:rPr>
              <w:t>rating aligns to statewide performance standards for student growth</w:t>
            </w:r>
          </w:p>
          <w:p w14:paraId="3974F6E6" w14:textId="2C09891B" w:rsidR="00865B6E" w:rsidRPr="0032164C" w:rsidRDefault="00865B6E" w:rsidP="00D62DB6"/>
        </w:tc>
        <w:tc>
          <w:tcPr>
            <w:tcW w:w="297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5730B3AA" w14:textId="3C02BB73" w:rsidR="00865B6E" w:rsidRPr="005940B0" w:rsidRDefault="00EA5326" w:rsidP="00ED72A6">
            <w:pPr>
              <w:rPr>
                <w:sz w:val="20"/>
                <w:szCs w:val="20"/>
              </w:rPr>
            </w:pPr>
            <w:r w:rsidRPr="005940B0">
              <w:rPr>
                <w:sz w:val="20"/>
                <w:szCs w:val="20"/>
              </w:rPr>
              <w:t>District does not use the statewide performance standards.</w:t>
            </w:r>
          </w:p>
        </w:tc>
        <w:tc>
          <w:tcPr>
            <w:tcW w:w="261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02695FFF" w14:textId="5606FF6C" w:rsidR="00865B6E" w:rsidRPr="005940B0" w:rsidRDefault="00EA5326" w:rsidP="00ED72A6">
            <w:pPr>
              <w:rPr>
                <w:sz w:val="20"/>
                <w:szCs w:val="20"/>
              </w:rPr>
            </w:pPr>
            <w:r w:rsidRPr="005940B0">
              <w:rPr>
                <w:sz w:val="20"/>
                <w:szCs w:val="20"/>
              </w:rPr>
              <w:t>District does not use the statewide performance standards consistently.</w:t>
            </w:r>
          </w:p>
        </w:tc>
        <w:tc>
          <w:tcPr>
            <w:tcW w:w="648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1F9467F2" w14:textId="632361B0" w:rsidR="00865B6E" w:rsidRPr="005940B0" w:rsidRDefault="00C12F05" w:rsidP="00ED72A6">
            <w:pPr>
              <w:rPr>
                <w:sz w:val="20"/>
                <w:szCs w:val="20"/>
              </w:rPr>
            </w:pPr>
            <w:r w:rsidRPr="005940B0">
              <w:rPr>
                <w:sz w:val="20"/>
                <w:szCs w:val="20"/>
              </w:rPr>
              <w:t>District ensures that teacher student growth data used to determine designation aligns to the statewide performance standards for student growth</w:t>
            </w:r>
            <w:r w:rsidR="00CF3C3F">
              <w:rPr>
                <w:sz w:val="20"/>
                <w:szCs w:val="20"/>
              </w:rPr>
              <w:t>. District has</w:t>
            </w:r>
            <w:r w:rsidR="002548A7">
              <w:rPr>
                <w:sz w:val="20"/>
                <w:szCs w:val="20"/>
              </w:rPr>
              <w:t xml:space="preserve"> widely communicated the statewide performance standards to teachers</w:t>
            </w:r>
          </w:p>
        </w:tc>
      </w:tr>
    </w:tbl>
    <w:p w14:paraId="2D59B0E2" w14:textId="77777777" w:rsidR="00D62DB6" w:rsidRDefault="00D62DB6" w:rsidP="00D62DB6">
      <w:pPr>
        <w:spacing w:after="0"/>
        <w:rPr>
          <w:sz w:val="24"/>
          <w:szCs w:val="24"/>
        </w:rPr>
      </w:pPr>
    </w:p>
    <w:p w14:paraId="76BBF10E" w14:textId="77777777" w:rsidR="00AF13AA" w:rsidRDefault="00AF13AA" w:rsidP="00D62DB6">
      <w:pPr>
        <w:spacing w:after="0"/>
        <w:rPr>
          <w:sz w:val="24"/>
          <w:szCs w:val="24"/>
        </w:rPr>
      </w:pPr>
    </w:p>
    <w:p w14:paraId="746B91C9" w14:textId="77777777" w:rsidR="00AF13AA" w:rsidRDefault="00AF13AA" w:rsidP="00D62DB6">
      <w:pPr>
        <w:spacing w:after="0"/>
        <w:rPr>
          <w:sz w:val="24"/>
          <w:szCs w:val="24"/>
        </w:rPr>
      </w:pPr>
    </w:p>
    <w:p w14:paraId="604BEA5B" w14:textId="77777777" w:rsidR="00AF13AA" w:rsidRDefault="00AF13AA" w:rsidP="00D62DB6">
      <w:pPr>
        <w:spacing w:after="0"/>
        <w:rPr>
          <w:sz w:val="24"/>
          <w:szCs w:val="24"/>
        </w:rPr>
      </w:pPr>
    </w:p>
    <w:p w14:paraId="1F1D3488" w14:textId="77777777" w:rsidR="00AF13AA" w:rsidRDefault="00AF13AA" w:rsidP="00D62DB6">
      <w:pPr>
        <w:spacing w:after="0"/>
        <w:rPr>
          <w:sz w:val="24"/>
          <w:szCs w:val="24"/>
        </w:rPr>
      </w:pPr>
    </w:p>
    <w:p w14:paraId="2ABE8DC8" w14:textId="77777777" w:rsidR="00AF13AA" w:rsidRDefault="00AF13AA" w:rsidP="00D62DB6">
      <w:pPr>
        <w:spacing w:after="0"/>
        <w:rPr>
          <w:sz w:val="24"/>
          <w:szCs w:val="24"/>
        </w:rPr>
      </w:pPr>
    </w:p>
    <w:p w14:paraId="4217A0C5" w14:textId="77777777" w:rsidR="00AF13AA" w:rsidRDefault="00AF13AA" w:rsidP="00D62DB6">
      <w:pPr>
        <w:spacing w:after="0"/>
        <w:rPr>
          <w:sz w:val="24"/>
          <w:szCs w:val="24"/>
        </w:rPr>
      </w:pPr>
    </w:p>
    <w:p w14:paraId="7A55BE4B" w14:textId="77777777" w:rsidR="00AF13AA" w:rsidRDefault="00AF13AA" w:rsidP="00D62DB6">
      <w:pPr>
        <w:spacing w:after="0"/>
        <w:rPr>
          <w:sz w:val="24"/>
          <w:szCs w:val="24"/>
        </w:rPr>
      </w:pPr>
    </w:p>
    <w:p w14:paraId="27F16BC5" w14:textId="77777777" w:rsidR="00AF13AA" w:rsidRDefault="00AF13AA" w:rsidP="00D62DB6">
      <w:pPr>
        <w:spacing w:after="0"/>
        <w:rPr>
          <w:sz w:val="24"/>
          <w:szCs w:val="24"/>
        </w:rPr>
      </w:pPr>
    </w:p>
    <w:p w14:paraId="2C784362" w14:textId="77777777" w:rsidR="00AF13AA" w:rsidRDefault="00AF13AA" w:rsidP="00D62DB6">
      <w:pPr>
        <w:spacing w:after="0"/>
        <w:rPr>
          <w:sz w:val="24"/>
          <w:szCs w:val="24"/>
        </w:rPr>
      </w:pPr>
    </w:p>
    <w:p w14:paraId="3A1BEEF3" w14:textId="77777777" w:rsidR="00AF13AA" w:rsidRDefault="00AF13AA" w:rsidP="00D62DB6">
      <w:pPr>
        <w:spacing w:after="0"/>
        <w:rPr>
          <w:sz w:val="24"/>
          <w:szCs w:val="24"/>
        </w:rPr>
      </w:pPr>
    </w:p>
    <w:p w14:paraId="1B936F81" w14:textId="77777777" w:rsidR="00AF13AA" w:rsidRDefault="00AF13AA" w:rsidP="00D62DB6">
      <w:pPr>
        <w:spacing w:after="0"/>
        <w:rPr>
          <w:sz w:val="24"/>
          <w:szCs w:val="24"/>
        </w:rPr>
      </w:pPr>
    </w:p>
    <w:p w14:paraId="0BD4F9EA" w14:textId="77777777" w:rsidR="00AF13AA" w:rsidRDefault="00AF13AA" w:rsidP="00D62DB6">
      <w:pPr>
        <w:spacing w:after="0"/>
        <w:rPr>
          <w:sz w:val="24"/>
          <w:szCs w:val="24"/>
        </w:rPr>
      </w:pPr>
    </w:p>
    <w:p w14:paraId="61088ABC" w14:textId="77777777" w:rsidR="00AC63FB" w:rsidRDefault="00AC63FB" w:rsidP="00D62DB6">
      <w:pPr>
        <w:spacing w:after="0"/>
        <w:rPr>
          <w:sz w:val="24"/>
          <w:szCs w:val="24"/>
        </w:rPr>
      </w:pPr>
    </w:p>
    <w:p w14:paraId="5EE956C3" w14:textId="64FA827D" w:rsidR="00AF13AA" w:rsidRDefault="00AF13AA" w:rsidP="00D62DB6">
      <w:pPr>
        <w:spacing w:after="0"/>
        <w:rPr>
          <w:sz w:val="24"/>
          <w:szCs w:val="24"/>
        </w:rPr>
      </w:pPr>
    </w:p>
    <w:p w14:paraId="796CD6D0" w14:textId="77777777" w:rsidR="00AC63FB" w:rsidRDefault="00AC63FB" w:rsidP="00D62DB6">
      <w:pPr>
        <w:spacing w:after="0"/>
        <w:rPr>
          <w:sz w:val="24"/>
          <w:szCs w:val="24"/>
        </w:rPr>
      </w:pPr>
    </w:p>
    <w:p w14:paraId="712F7115" w14:textId="78A4A20A" w:rsidR="009937C8" w:rsidRDefault="003D7936" w:rsidP="00D62DB6">
      <w:pPr>
        <w:spacing w:after="0"/>
        <w:rPr>
          <w:sz w:val="24"/>
          <w:szCs w:val="24"/>
        </w:rPr>
      </w:pPr>
      <w:r w:rsidRPr="002F33A9">
        <w:rPr>
          <w:sz w:val="24"/>
          <w:szCs w:val="24"/>
        </w:rPr>
        <w:t>S</w:t>
      </w:r>
      <w:r w:rsidR="008A7948" w:rsidRPr="002F33A9">
        <w:rPr>
          <w:sz w:val="24"/>
          <w:szCs w:val="24"/>
        </w:rPr>
        <w:t>tudent Learning Objectives</w:t>
      </w:r>
    </w:p>
    <w:tbl>
      <w:tblPr>
        <w:tblStyle w:val="TableGrid"/>
        <w:tblW w:w="14575" w:type="dxa"/>
        <w:tblLook w:val="04A0" w:firstRow="1" w:lastRow="0" w:firstColumn="1" w:lastColumn="0" w:noHBand="0" w:noVBand="1"/>
      </w:tblPr>
      <w:tblGrid>
        <w:gridCol w:w="2586"/>
        <w:gridCol w:w="2886"/>
        <w:gridCol w:w="2893"/>
        <w:gridCol w:w="6210"/>
      </w:tblGrid>
      <w:tr w:rsidR="00D016A8" w:rsidRPr="00ED72A6" w14:paraId="6AEB42C8" w14:textId="77777777" w:rsidTr="001C5131">
        <w:tc>
          <w:tcPr>
            <w:tcW w:w="2586" w:type="dxa"/>
            <w:tcBorders>
              <w:top w:val="single" w:sz="4" w:space="0" w:color="FFFFFF" w:themeColor="background1"/>
              <w:left w:val="single" w:sz="4" w:space="0" w:color="FFFFFF"/>
              <w:bottom w:val="single" w:sz="4" w:space="0" w:color="FFFFFF"/>
              <w:right w:val="single" w:sz="4" w:space="0" w:color="FFFFFF"/>
            </w:tcBorders>
            <w:shd w:val="clear" w:color="auto" w:fill="0D6CB9" w:themeFill="text2"/>
          </w:tcPr>
          <w:p w14:paraId="69D5EEA4" w14:textId="77777777" w:rsidR="006318C5" w:rsidRPr="001C5131" w:rsidRDefault="006318C5" w:rsidP="00827886">
            <w:pPr>
              <w:rPr>
                <w:b/>
                <w:bCs/>
                <w:color w:val="FFFFFF" w:themeColor="background1"/>
                <w:sz w:val="24"/>
                <w:szCs w:val="24"/>
              </w:rPr>
            </w:pPr>
            <w:r w:rsidRPr="001C5131">
              <w:rPr>
                <w:b/>
                <w:bCs/>
                <w:color w:val="FFFFFF" w:themeColor="background1"/>
                <w:sz w:val="24"/>
                <w:szCs w:val="24"/>
              </w:rPr>
              <w:t>Component</w:t>
            </w:r>
          </w:p>
        </w:tc>
        <w:tc>
          <w:tcPr>
            <w:tcW w:w="2886" w:type="dxa"/>
            <w:tcBorders>
              <w:top w:val="single" w:sz="4" w:space="0" w:color="FFFFFF" w:themeColor="background1"/>
              <w:left w:val="single" w:sz="4" w:space="0" w:color="FFFFFF"/>
              <w:bottom w:val="single" w:sz="4" w:space="0" w:color="FFFFFF"/>
              <w:right w:val="single" w:sz="4" w:space="0" w:color="FFFFFF"/>
            </w:tcBorders>
            <w:shd w:val="clear" w:color="auto" w:fill="F16038" w:themeFill="accent2"/>
          </w:tcPr>
          <w:p w14:paraId="4F30EFDB" w14:textId="77777777" w:rsidR="006318C5" w:rsidRPr="00ED72A6" w:rsidRDefault="006318C5" w:rsidP="00827886">
            <w:pPr>
              <w:rPr>
                <w:b/>
                <w:bCs/>
                <w:sz w:val="24"/>
                <w:szCs w:val="24"/>
              </w:rPr>
            </w:pPr>
            <w:r w:rsidRPr="00663B4C">
              <w:rPr>
                <w:b/>
                <w:bCs/>
                <w:color w:val="242424" w:themeColor="text1"/>
                <w:sz w:val="24"/>
                <w:szCs w:val="24"/>
              </w:rPr>
              <w:t>Limited or no Readiness</w:t>
            </w:r>
          </w:p>
        </w:tc>
        <w:tc>
          <w:tcPr>
            <w:tcW w:w="2893" w:type="dxa"/>
            <w:tcBorders>
              <w:top w:val="single" w:sz="4" w:space="0" w:color="FFFFFF" w:themeColor="background1"/>
              <w:left w:val="single" w:sz="4" w:space="0" w:color="FFFFFF"/>
              <w:bottom w:val="single" w:sz="4" w:space="0" w:color="FFFFFF"/>
              <w:right w:val="single" w:sz="4" w:space="0" w:color="FFFFFF"/>
            </w:tcBorders>
            <w:shd w:val="clear" w:color="auto" w:fill="F8CC2A" w:themeFill="accent6"/>
          </w:tcPr>
          <w:p w14:paraId="236E9314" w14:textId="77777777" w:rsidR="006318C5" w:rsidRPr="00ED72A6" w:rsidRDefault="006318C5" w:rsidP="00827886">
            <w:pPr>
              <w:rPr>
                <w:b/>
                <w:bCs/>
                <w:sz w:val="24"/>
                <w:szCs w:val="24"/>
              </w:rPr>
            </w:pPr>
            <w:r w:rsidRPr="00ED72A6">
              <w:rPr>
                <w:b/>
                <w:bCs/>
                <w:sz w:val="24"/>
                <w:szCs w:val="24"/>
              </w:rPr>
              <w:t>Partial Readiness</w:t>
            </w:r>
          </w:p>
        </w:tc>
        <w:tc>
          <w:tcPr>
            <w:tcW w:w="6210" w:type="dxa"/>
            <w:tcBorders>
              <w:top w:val="single" w:sz="4" w:space="0" w:color="FFFFFF" w:themeColor="background1"/>
              <w:left w:val="single" w:sz="4" w:space="0" w:color="FFFFFF"/>
              <w:bottom w:val="single" w:sz="4" w:space="0" w:color="FFFFFF"/>
              <w:right w:val="single" w:sz="4" w:space="0" w:color="FFFFFF"/>
            </w:tcBorders>
            <w:shd w:val="clear" w:color="auto" w:fill="92C841" w:themeFill="accent3"/>
          </w:tcPr>
          <w:p w14:paraId="640D3D08" w14:textId="77777777" w:rsidR="006318C5" w:rsidRPr="00ED72A6" w:rsidRDefault="006318C5" w:rsidP="00827886">
            <w:pPr>
              <w:rPr>
                <w:b/>
                <w:bCs/>
                <w:sz w:val="24"/>
                <w:szCs w:val="24"/>
              </w:rPr>
            </w:pPr>
            <w:r w:rsidRPr="00ED72A6">
              <w:rPr>
                <w:b/>
                <w:bCs/>
                <w:sz w:val="24"/>
                <w:szCs w:val="24"/>
              </w:rPr>
              <w:t xml:space="preserve">Full Readiness </w:t>
            </w:r>
          </w:p>
        </w:tc>
      </w:tr>
      <w:tr w:rsidR="00D016A8" w:rsidRPr="007A730C" w14:paraId="47B937DD" w14:textId="77777777" w:rsidTr="00D016A8">
        <w:tc>
          <w:tcPr>
            <w:tcW w:w="2586" w:type="dxa"/>
            <w:tcBorders>
              <w:top w:val="single" w:sz="4" w:space="0" w:color="FFFFFF"/>
              <w:left w:val="single" w:sz="4" w:space="0" w:color="FFFFFF" w:themeColor="background1"/>
              <w:bottom w:val="single" w:sz="4" w:space="0" w:color="FFFFFF"/>
              <w:right w:val="single" w:sz="4" w:space="0" w:color="FFFFFF"/>
            </w:tcBorders>
            <w:shd w:val="clear" w:color="auto" w:fill="DEEAF6" w:themeFill="accent5" w:themeFillTint="33"/>
          </w:tcPr>
          <w:p w14:paraId="25AD328A" w14:textId="77777777" w:rsidR="007D4BD9" w:rsidRDefault="006D4402" w:rsidP="00D62DB6">
            <w:pPr>
              <w:rPr>
                <w:b/>
                <w:bCs/>
              </w:rPr>
            </w:pPr>
            <w:r w:rsidRPr="00D62DB6">
              <w:rPr>
                <w:b/>
                <w:bCs/>
              </w:rPr>
              <w:t xml:space="preserve">Validity in </w:t>
            </w:r>
          </w:p>
          <w:p w14:paraId="4823BCE4" w14:textId="3B8CD9D3" w:rsidR="006D4402" w:rsidRPr="00ED72A6" w:rsidRDefault="006D4402" w:rsidP="00D62DB6">
            <w:pPr>
              <w:rPr>
                <w:b/>
                <w:bCs/>
              </w:rPr>
            </w:pPr>
            <w:r w:rsidRPr="00D62DB6">
              <w:rPr>
                <w:b/>
                <w:bCs/>
              </w:rPr>
              <w:t>administration of the SLO</w:t>
            </w:r>
          </w:p>
          <w:p w14:paraId="53A904C0" w14:textId="4DFBF032" w:rsidR="006D4402" w:rsidRPr="00ED72A6" w:rsidRDefault="006D4402" w:rsidP="00D62DB6">
            <w:pPr>
              <w:rPr>
                <w:i/>
                <w:iCs/>
              </w:rPr>
            </w:pPr>
          </w:p>
        </w:tc>
        <w:tc>
          <w:tcPr>
            <w:tcW w:w="2886"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16282D24" w14:textId="5B19B69B" w:rsidR="006D4402" w:rsidRPr="00ED72A6" w:rsidRDefault="006D4402" w:rsidP="006D4402">
            <w:pPr>
              <w:rPr>
                <w:sz w:val="20"/>
                <w:szCs w:val="20"/>
              </w:rPr>
            </w:pPr>
            <w:r w:rsidRPr="00ED72A6">
              <w:rPr>
                <w:sz w:val="20"/>
                <w:szCs w:val="20"/>
              </w:rPr>
              <w:t xml:space="preserve">District has few or no standard procedures in place for the reliable and valid administration of </w:t>
            </w:r>
            <w:r w:rsidR="009D6485">
              <w:rPr>
                <w:sz w:val="20"/>
                <w:szCs w:val="20"/>
              </w:rPr>
              <w:t>SLOs</w:t>
            </w:r>
            <w:r w:rsidRPr="00ED72A6">
              <w:rPr>
                <w:sz w:val="20"/>
                <w:szCs w:val="20"/>
              </w:rPr>
              <w:t xml:space="preserve">. </w:t>
            </w:r>
          </w:p>
        </w:tc>
        <w:tc>
          <w:tcPr>
            <w:tcW w:w="2893"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E588D6E" w14:textId="07BC9662" w:rsidR="006D4402" w:rsidRPr="00ED72A6" w:rsidRDefault="006D4402" w:rsidP="006D4402">
            <w:pPr>
              <w:rPr>
                <w:sz w:val="20"/>
                <w:szCs w:val="20"/>
              </w:rPr>
            </w:pPr>
            <w:r w:rsidRPr="00ED72A6">
              <w:rPr>
                <w:sz w:val="20"/>
                <w:szCs w:val="20"/>
              </w:rPr>
              <w:t xml:space="preserve">District has procedures in place for the valid and reliable administration </w:t>
            </w:r>
            <w:r w:rsidRPr="002F33A9">
              <w:rPr>
                <w:sz w:val="20"/>
                <w:szCs w:val="20"/>
              </w:rPr>
              <w:t xml:space="preserve">of </w:t>
            </w:r>
            <w:r w:rsidR="00593181" w:rsidRPr="002F33A9">
              <w:rPr>
                <w:sz w:val="20"/>
                <w:szCs w:val="20"/>
              </w:rPr>
              <w:t>SLOs for some eligible teaching groups,</w:t>
            </w:r>
            <w:r w:rsidRPr="002F33A9">
              <w:rPr>
                <w:sz w:val="20"/>
                <w:szCs w:val="20"/>
              </w:rPr>
              <w:t xml:space="preserve"> but not all.</w:t>
            </w:r>
            <w:r w:rsidRPr="00ED72A6">
              <w:rPr>
                <w:sz w:val="20"/>
                <w:szCs w:val="20"/>
              </w:rPr>
              <w:t xml:space="preserve"> District provides minimal guidance on the scoring of district-created student growth measures</w:t>
            </w:r>
            <w:r w:rsidR="00EE263C">
              <w:rPr>
                <w:sz w:val="20"/>
                <w:szCs w:val="20"/>
              </w:rPr>
              <w:t xml:space="preserve">. </w:t>
            </w:r>
            <w:r w:rsidR="002B2887">
              <w:rPr>
                <w:sz w:val="20"/>
                <w:szCs w:val="20"/>
              </w:rPr>
              <w:t>District uses limited two or fewer data points to determine growth us</w:t>
            </w:r>
            <w:r w:rsidR="00671099">
              <w:rPr>
                <w:sz w:val="20"/>
                <w:szCs w:val="20"/>
              </w:rPr>
              <w:t>ing the SLO</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36D5EB86" w14:textId="76F90E1D" w:rsidR="006D4402" w:rsidRPr="00432BFC" w:rsidRDefault="006D4402" w:rsidP="006D4402">
            <w:pPr>
              <w:rPr>
                <w:sz w:val="20"/>
                <w:szCs w:val="20"/>
              </w:rPr>
            </w:pPr>
            <w:r w:rsidRPr="00ED72A6">
              <w:rPr>
                <w:sz w:val="20"/>
                <w:szCs w:val="20"/>
              </w:rPr>
              <w:t xml:space="preserve">District requires training annually on the administration of </w:t>
            </w:r>
            <w:r w:rsidR="00531C41">
              <w:rPr>
                <w:sz w:val="20"/>
                <w:szCs w:val="20"/>
              </w:rPr>
              <w:t>SLOs</w:t>
            </w:r>
            <w:r w:rsidRPr="00ED72A6">
              <w:rPr>
                <w:sz w:val="20"/>
                <w:szCs w:val="20"/>
              </w:rPr>
              <w:t xml:space="preserve">. District provides guidance, protocols, and rubrics for </w:t>
            </w:r>
            <w:r w:rsidRPr="002B6215">
              <w:rPr>
                <w:sz w:val="20"/>
                <w:szCs w:val="20"/>
              </w:rPr>
              <w:t>the administration of each district-created student growth measure used</w:t>
            </w:r>
            <w:r w:rsidR="00473B88" w:rsidRPr="002B6215">
              <w:rPr>
                <w:sz w:val="20"/>
                <w:szCs w:val="20"/>
              </w:rPr>
              <w:t xml:space="preserve"> in the SLO</w:t>
            </w:r>
            <w:r w:rsidR="003613E6" w:rsidRPr="002B6215">
              <w:rPr>
                <w:sz w:val="20"/>
                <w:szCs w:val="20"/>
              </w:rPr>
              <w:t xml:space="preserve"> process</w:t>
            </w:r>
            <w:r w:rsidR="00671099">
              <w:rPr>
                <w:sz w:val="20"/>
                <w:szCs w:val="20"/>
              </w:rPr>
              <w:t xml:space="preserve">. District requirements for </w:t>
            </w:r>
            <w:r w:rsidR="00432BFC">
              <w:rPr>
                <w:sz w:val="20"/>
                <w:szCs w:val="20"/>
              </w:rPr>
              <w:t xml:space="preserve">data used to determine growth on the SLO </w:t>
            </w:r>
            <w:r w:rsidR="003613E6" w:rsidRPr="002B6215">
              <w:rPr>
                <w:sz w:val="20"/>
                <w:szCs w:val="20"/>
              </w:rPr>
              <w:t xml:space="preserve">align to </w:t>
            </w:r>
            <w:r w:rsidR="0088671B" w:rsidRPr="002B6215">
              <w:rPr>
                <w:sz w:val="20"/>
                <w:szCs w:val="20"/>
              </w:rPr>
              <w:t>state guidelines for SLO</w:t>
            </w:r>
            <w:r w:rsidR="001862B4">
              <w:rPr>
                <w:sz w:val="20"/>
                <w:szCs w:val="20"/>
              </w:rPr>
              <w:t>s</w:t>
            </w:r>
          </w:p>
        </w:tc>
      </w:tr>
      <w:tr w:rsidR="00D016A8" w:rsidRPr="007A730C" w14:paraId="79AE166C" w14:textId="77777777" w:rsidTr="00D016A8">
        <w:tc>
          <w:tcPr>
            <w:tcW w:w="2586" w:type="dxa"/>
            <w:tcBorders>
              <w:top w:val="single" w:sz="4" w:space="0" w:color="FFFFFF"/>
              <w:left w:val="single" w:sz="4" w:space="0" w:color="FFFFFF" w:themeColor="background1"/>
              <w:bottom w:val="single" w:sz="4" w:space="0" w:color="FFFFFF"/>
              <w:right w:val="single" w:sz="4" w:space="0" w:color="FFFFFF"/>
            </w:tcBorders>
            <w:shd w:val="clear" w:color="auto" w:fill="DEEAF6" w:themeFill="accent5" w:themeFillTint="33"/>
          </w:tcPr>
          <w:p w14:paraId="2487FD62" w14:textId="57FC15D1" w:rsidR="0036631F" w:rsidRPr="00D62DB6" w:rsidRDefault="002275FA" w:rsidP="00D62DB6">
            <w:pPr>
              <w:rPr>
                <w:b/>
                <w:bCs/>
              </w:rPr>
            </w:pPr>
            <w:r w:rsidRPr="00D62DB6">
              <w:rPr>
                <w:b/>
                <w:bCs/>
              </w:rPr>
              <w:t>Security of all assessments/assignments used in SLO</w:t>
            </w:r>
          </w:p>
        </w:tc>
        <w:tc>
          <w:tcPr>
            <w:tcW w:w="2886"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10105D3D" w14:textId="5EE30850" w:rsidR="0036631F" w:rsidRPr="00ED72A6" w:rsidRDefault="00570108" w:rsidP="006D4402">
            <w:pPr>
              <w:rPr>
                <w:sz w:val="20"/>
                <w:szCs w:val="20"/>
              </w:rPr>
            </w:pPr>
            <w:r>
              <w:rPr>
                <w:sz w:val="20"/>
                <w:szCs w:val="20"/>
              </w:rPr>
              <w:t>There are no specific requirements for the security of stu</w:t>
            </w:r>
            <w:r w:rsidR="00E83A89">
              <w:rPr>
                <w:sz w:val="20"/>
                <w:szCs w:val="20"/>
              </w:rPr>
              <w:t>dent assessments/assignment documents used in the SLO</w:t>
            </w:r>
          </w:p>
        </w:tc>
        <w:tc>
          <w:tcPr>
            <w:tcW w:w="2893"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5ED5AF52" w14:textId="646D6A2E" w:rsidR="0036631F" w:rsidRPr="00ED72A6" w:rsidRDefault="00E83A89" w:rsidP="006D4402">
            <w:pPr>
              <w:rPr>
                <w:sz w:val="20"/>
                <w:szCs w:val="20"/>
              </w:rPr>
            </w:pPr>
            <w:r>
              <w:rPr>
                <w:sz w:val="20"/>
                <w:szCs w:val="20"/>
              </w:rPr>
              <w:t>District has protocols in place to ensure the security of some student assessments/</w:t>
            </w:r>
            <w:r w:rsidR="0085040C">
              <w:rPr>
                <w:sz w:val="20"/>
                <w:szCs w:val="20"/>
              </w:rPr>
              <w:t xml:space="preserve"> </w:t>
            </w:r>
            <w:r>
              <w:rPr>
                <w:sz w:val="20"/>
                <w:szCs w:val="20"/>
              </w:rPr>
              <w:t>assignments used in the SLO, but not all</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6B3C58A" w14:textId="02978B59" w:rsidR="0036631F" w:rsidRPr="00ED72A6" w:rsidRDefault="00BB4208" w:rsidP="006D4402">
            <w:pPr>
              <w:rPr>
                <w:sz w:val="20"/>
                <w:szCs w:val="20"/>
              </w:rPr>
            </w:pPr>
            <w:r w:rsidRPr="00ED72A6">
              <w:rPr>
                <w:sz w:val="20"/>
                <w:szCs w:val="20"/>
              </w:rPr>
              <w:t xml:space="preserve">District has protocols in place to ensure the security of student </w:t>
            </w:r>
            <w:r w:rsidR="00E83A89">
              <w:rPr>
                <w:sz w:val="20"/>
                <w:szCs w:val="20"/>
              </w:rPr>
              <w:t>assessment/assignment documents</w:t>
            </w:r>
            <w:r w:rsidR="00570108">
              <w:rPr>
                <w:sz w:val="20"/>
                <w:szCs w:val="20"/>
              </w:rPr>
              <w:t xml:space="preserve"> used in the SLO</w:t>
            </w:r>
          </w:p>
        </w:tc>
      </w:tr>
      <w:tr w:rsidR="00D016A8" w:rsidRPr="007A730C" w14:paraId="2585E00E" w14:textId="77777777" w:rsidTr="00D016A8">
        <w:tc>
          <w:tcPr>
            <w:tcW w:w="2586" w:type="dxa"/>
            <w:tcBorders>
              <w:top w:val="single" w:sz="4" w:space="0" w:color="FFFFFF"/>
              <w:left w:val="single" w:sz="4" w:space="0" w:color="FFFFFF" w:themeColor="background1"/>
              <w:bottom w:val="nil"/>
              <w:right w:val="single" w:sz="4" w:space="0" w:color="FFFFFF"/>
            </w:tcBorders>
            <w:shd w:val="clear" w:color="auto" w:fill="DEEAF6" w:themeFill="accent5" w:themeFillTint="33"/>
          </w:tcPr>
          <w:p w14:paraId="0C5AFE32" w14:textId="58A15877" w:rsidR="00BB4208" w:rsidRPr="00D62DB6" w:rsidRDefault="00BB4208" w:rsidP="00D62DB6">
            <w:pPr>
              <w:rPr>
                <w:b/>
                <w:bCs/>
              </w:rPr>
            </w:pPr>
            <w:r w:rsidRPr="00D62DB6">
              <w:rPr>
                <w:b/>
                <w:bCs/>
              </w:rPr>
              <w:t>Alignment to texasslo.org</w:t>
            </w:r>
          </w:p>
        </w:tc>
        <w:tc>
          <w:tcPr>
            <w:tcW w:w="2886" w:type="dxa"/>
            <w:tcBorders>
              <w:top w:val="single" w:sz="4" w:space="0" w:color="FFFFFF"/>
              <w:left w:val="single" w:sz="4" w:space="0" w:color="FFFFFF"/>
              <w:bottom w:val="nil"/>
              <w:right w:val="single" w:sz="4" w:space="0" w:color="FFFFFF"/>
            </w:tcBorders>
            <w:shd w:val="clear" w:color="auto" w:fill="FCDFD7" w:themeFill="accent2" w:themeFillTint="33"/>
          </w:tcPr>
          <w:p w14:paraId="19D68EA5" w14:textId="2EF1F83F" w:rsidR="00BB4208" w:rsidRPr="00ED72A6" w:rsidRDefault="00BB4208" w:rsidP="006D4402">
            <w:pPr>
              <w:rPr>
                <w:sz w:val="20"/>
                <w:szCs w:val="20"/>
              </w:rPr>
            </w:pPr>
            <w:r>
              <w:rPr>
                <w:sz w:val="20"/>
                <w:szCs w:val="20"/>
              </w:rPr>
              <w:t>District’s SLO process does not align to texasslo.org</w:t>
            </w:r>
          </w:p>
        </w:tc>
        <w:tc>
          <w:tcPr>
            <w:tcW w:w="2893" w:type="dxa"/>
            <w:tcBorders>
              <w:top w:val="single" w:sz="4" w:space="0" w:color="FFFFFF"/>
              <w:left w:val="single" w:sz="4" w:space="0" w:color="FFFFFF"/>
              <w:bottom w:val="nil"/>
              <w:right w:val="single" w:sz="4" w:space="0" w:color="FFFFFF"/>
            </w:tcBorders>
            <w:shd w:val="clear" w:color="auto" w:fill="FDF4D4" w:themeFill="accent6" w:themeFillTint="33"/>
          </w:tcPr>
          <w:p w14:paraId="572B188C" w14:textId="0A55888F" w:rsidR="00BB4208" w:rsidRPr="00ED72A6" w:rsidRDefault="00BB4208" w:rsidP="006D4402">
            <w:pPr>
              <w:rPr>
                <w:sz w:val="20"/>
                <w:szCs w:val="20"/>
              </w:rPr>
            </w:pPr>
          </w:p>
        </w:tc>
        <w:tc>
          <w:tcPr>
            <w:tcW w:w="6210" w:type="dxa"/>
            <w:tcBorders>
              <w:top w:val="single" w:sz="4" w:space="0" w:color="FFFFFF"/>
              <w:left w:val="single" w:sz="4" w:space="0" w:color="FFFFFF"/>
              <w:bottom w:val="nil"/>
              <w:right w:val="single" w:sz="4" w:space="0" w:color="FFFFFF"/>
            </w:tcBorders>
            <w:shd w:val="clear" w:color="auto" w:fill="E9F4D9" w:themeFill="accent3" w:themeFillTint="33"/>
          </w:tcPr>
          <w:p w14:paraId="2B598D13" w14:textId="64A37F5C" w:rsidR="00BB4208" w:rsidRPr="00ED72A6" w:rsidRDefault="00BB4208" w:rsidP="006D4402">
            <w:pPr>
              <w:rPr>
                <w:sz w:val="20"/>
                <w:szCs w:val="20"/>
              </w:rPr>
            </w:pPr>
            <w:r>
              <w:rPr>
                <w:sz w:val="20"/>
                <w:szCs w:val="20"/>
              </w:rPr>
              <w:t>District’s SLO process aligns to texasslo.org</w:t>
            </w:r>
          </w:p>
        </w:tc>
      </w:tr>
      <w:tr w:rsidR="00D016A8" w:rsidRPr="00ED72A6" w14:paraId="78C5537D" w14:textId="77777777" w:rsidTr="00D016A8">
        <w:trPr>
          <w:trHeight w:val="81"/>
        </w:trPr>
        <w:tc>
          <w:tcPr>
            <w:tcW w:w="2586" w:type="dxa"/>
            <w:tcBorders>
              <w:top w:val="nil"/>
              <w:left w:val="single" w:sz="4" w:space="0" w:color="FFFFFF" w:themeColor="background1"/>
              <w:bottom w:val="single" w:sz="4" w:space="0" w:color="FFFFFF"/>
              <w:right w:val="single" w:sz="4" w:space="0" w:color="FFFFFF"/>
            </w:tcBorders>
            <w:shd w:val="clear" w:color="auto" w:fill="DEEAF6" w:themeFill="accent5" w:themeFillTint="33"/>
          </w:tcPr>
          <w:p w14:paraId="741A59FC" w14:textId="77777777" w:rsidR="00D62DB6" w:rsidRPr="00D62DB6" w:rsidRDefault="00D62DB6" w:rsidP="00D62DB6">
            <w:pPr>
              <w:rPr>
                <w:b/>
                <w:bCs/>
              </w:rPr>
            </w:pPr>
          </w:p>
        </w:tc>
        <w:tc>
          <w:tcPr>
            <w:tcW w:w="2886" w:type="dxa"/>
            <w:tcBorders>
              <w:top w:val="nil"/>
              <w:left w:val="single" w:sz="4" w:space="0" w:color="FFFFFF"/>
              <w:bottom w:val="single" w:sz="4" w:space="0" w:color="FFFFFF"/>
              <w:right w:val="single" w:sz="4" w:space="0" w:color="FFFFFF"/>
            </w:tcBorders>
            <w:shd w:val="clear" w:color="auto" w:fill="FCDFD7" w:themeFill="accent2" w:themeFillTint="33"/>
          </w:tcPr>
          <w:p w14:paraId="31FB1F7E" w14:textId="77777777" w:rsidR="00D62DB6" w:rsidRDefault="00D62DB6" w:rsidP="006D4402">
            <w:pPr>
              <w:rPr>
                <w:sz w:val="20"/>
                <w:szCs w:val="20"/>
              </w:rPr>
            </w:pPr>
          </w:p>
        </w:tc>
        <w:tc>
          <w:tcPr>
            <w:tcW w:w="2893" w:type="dxa"/>
            <w:tcBorders>
              <w:top w:val="nil"/>
              <w:left w:val="single" w:sz="4" w:space="0" w:color="FFFFFF"/>
              <w:bottom w:val="single" w:sz="4" w:space="0" w:color="FFFFFF"/>
              <w:right w:val="single" w:sz="4" w:space="0" w:color="FFFFFF"/>
            </w:tcBorders>
            <w:shd w:val="clear" w:color="auto" w:fill="FDF4D4" w:themeFill="accent6" w:themeFillTint="33"/>
          </w:tcPr>
          <w:p w14:paraId="09F403DC" w14:textId="77777777" w:rsidR="00D62DB6" w:rsidRDefault="00D62DB6" w:rsidP="006D4402">
            <w:pPr>
              <w:rPr>
                <w:sz w:val="20"/>
                <w:szCs w:val="20"/>
              </w:rPr>
            </w:pPr>
          </w:p>
        </w:tc>
        <w:tc>
          <w:tcPr>
            <w:tcW w:w="6210" w:type="dxa"/>
            <w:tcBorders>
              <w:top w:val="nil"/>
              <w:left w:val="single" w:sz="4" w:space="0" w:color="FFFFFF"/>
              <w:bottom w:val="single" w:sz="4" w:space="0" w:color="FFFFFF"/>
              <w:right w:val="single" w:sz="4" w:space="0" w:color="FFFFFF"/>
            </w:tcBorders>
            <w:shd w:val="clear" w:color="auto" w:fill="E9F4D9" w:themeFill="accent3" w:themeFillTint="33"/>
          </w:tcPr>
          <w:p w14:paraId="7144D5A7" w14:textId="77777777" w:rsidR="00D62DB6" w:rsidRPr="00ED72A6" w:rsidRDefault="00D62DB6" w:rsidP="006D4402">
            <w:pPr>
              <w:rPr>
                <w:sz w:val="20"/>
                <w:szCs w:val="20"/>
              </w:rPr>
            </w:pPr>
          </w:p>
        </w:tc>
      </w:tr>
      <w:tr w:rsidR="00D016A8" w:rsidRPr="00ED72A6" w14:paraId="0539DAB1" w14:textId="77777777" w:rsidTr="00D016A8">
        <w:tc>
          <w:tcPr>
            <w:tcW w:w="2586" w:type="dxa"/>
            <w:tcBorders>
              <w:top w:val="single" w:sz="4" w:space="0" w:color="FFFFFF"/>
              <w:left w:val="single" w:sz="4" w:space="0" w:color="FFFFFF" w:themeColor="background1"/>
              <w:bottom w:val="single" w:sz="4" w:space="0" w:color="FFFFFF"/>
              <w:right w:val="single" w:sz="4" w:space="0" w:color="FFFFFF"/>
            </w:tcBorders>
            <w:shd w:val="clear" w:color="auto" w:fill="DEEAF6" w:themeFill="accent5" w:themeFillTint="33"/>
          </w:tcPr>
          <w:p w14:paraId="68D41C99" w14:textId="37617DC7" w:rsidR="006D4402" w:rsidRPr="00D016A8" w:rsidRDefault="00A76077" w:rsidP="00D62DB6">
            <w:pPr>
              <w:rPr>
                <w:b/>
                <w:bCs/>
              </w:rPr>
            </w:pPr>
            <w:r w:rsidRPr="00D62DB6">
              <w:rPr>
                <w:b/>
                <w:bCs/>
              </w:rPr>
              <w:t>Requirements for writing an SLO</w:t>
            </w:r>
          </w:p>
        </w:tc>
        <w:tc>
          <w:tcPr>
            <w:tcW w:w="2886"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2C59F9A4" w14:textId="736FC23A" w:rsidR="006D4402" w:rsidRPr="00ED72A6" w:rsidRDefault="009123AE" w:rsidP="006D4402">
            <w:pPr>
              <w:rPr>
                <w:sz w:val="20"/>
                <w:szCs w:val="20"/>
              </w:rPr>
            </w:pPr>
            <w:r>
              <w:rPr>
                <w:sz w:val="20"/>
                <w:szCs w:val="20"/>
              </w:rPr>
              <w:t xml:space="preserve">There are no specific requirements </w:t>
            </w:r>
            <w:r w:rsidR="000E4F12">
              <w:rPr>
                <w:sz w:val="20"/>
                <w:szCs w:val="20"/>
              </w:rPr>
              <w:t>for writing an SLO</w:t>
            </w:r>
          </w:p>
        </w:tc>
        <w:tc>
          <w:tcPr>
            <w:tcW w:w="2893"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2CADD2D" w14:textId="492323CE" w:rsidR="006D4402" w:rsidRPr="00ED72A6" w:rsidRDefault="000E4F12" w:rsidP="006D4402">
            <w:pPr>
              <w:rPr>
                <w:sz w:val="20"/>
                <w:szCs w:val="20"/>
              </w:rPr>
            </w:pPr>
            <w:r>
              <w:rPr>
                <w:sz w:val="20"/>
                <w:szCs w:val="20"/>
              </w:rPr>
              <w:t xml:space="preserve">There are </w:t>
            </w:r>
            <w:r w:rsidR="00A56014">
              <w:rPr>
                <w:sz w:val="20"/>
                <w:szCs w:val="20"/>
              </w:rPr>
              <w:t>requirements</w:t>
            </w:r>
            <w:r w:rsidR="00A65DAC">
              <w:rPr>
                <w:sz w:val="20"/>
                <w:szCs w:val="20"/>
              </w:rPr>
              <w:t>/standards in place for writing SLOs for some eligible teaching assignments but not all</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53F55139" w14:textId="7F672429" w:rsidR="006D4402" w:rsidRPr="00B77B52" w:rsidRDefault="00873159" w:rsidP="006D4402">
            <w:pPr>
              <w:rPr>
                <w:sz w:val="20"/>
                <w:szCs w:val="20"/>
              </w:rPr>
            </w:pPr>
            <w:r w:rsidRPr="00ED72A6">
              <w:rPr>
                <w:sz w:val="20"/>
                <w:szCs w:val="20"/>
              </w:rPr>
              <w:t xml:space="preserve">District ensures that all </w:t>
            </w:r>
            <w:r>
              <w:rPr>
                <w:sz w:val="20"/>
                <w:szCs w:val="20"/>
              </w:rPr>
              <w:t>SLOs</w:t>
            </w:r>
            <w:r w:rsidRPr="00ED72A6">
              <w:rPr>
                <w:sz w:val="20"/>
                <w:szCs w:val="20"/>
              </w:rPr>
              <w:t xml:space="preserve"> used are aligned to the standards for the course</w:t>
            </w:r>
            <w:r w:rsidR="001C7534">
              <w:rPr>
                <w:sz w:val="20"/>
                <w:szCs w:val="20"/>
              </w:rPr>
              <w:t xml:space="preserve"> and focus on a </w:t>
            </w:r>
            <w:r w:rsidR="001C7534" w:rsidRPr="00432BFC">
              <w:rPr>
                <w:sz w:val="20"/>
                <w:szCs w:val="20"/>
              </w:rPr>
              <w:t>foundational skill</w:t>
            </w:r>
            <w:r w:rsidR="00BB1459" w:rsidRPr="00432BFC">
              <w:rPr>
                <w:sz w:val="20"/>
                <w:szCs w:val="20"/>
              </w:rPr>
              <w:t xml:space="preserve"> that is addressed throughout the school year</w:t>
            </w:r>
          </w:p>
        </w:tc>
      </w:tr>
      <w:tr w:rsidR="00D016A8" w:rsidRPr="00ED72A6" w14:paraId="1E9DFC87" w14:textId="77777777" w:rsidTr="00D016A8">
        <w:tc>
          <w:tcPr>
            <w:tcW w:w="2586" w:type="dxa"/>
            <w:tcBorders>
              <w:top w:val="single" w:sz="4" w:space="0" w:color="FFFFFF"/>
              <w:left w:val="single" w:sz="4" w:space="0" w:color="FFFFFF" w:themeColor="background1"/>
              <w:bottom w:val="single" w:sz="4" w:space="0" w:color="FFFFFF"/>
              <w:right w:val="single" w:sz="4" w:space="0" w:color="FFFFFF"/>
            </w:tcBorders>
            <w:shd w:val="clear" w:color="auto" w:fill="DEEAF6" w:themeFill="accent5" w:themeFillTint="33"/>
          </w:tcPr>
          <w:p w14:paraId="7B38BF77" w14:textId="40B879F6" w:rsidR="00B4063C" w:rsidRPr="00D62DB6" w:rsidRDefault="003909FE" w:rsidP="00D62DB6">
            <w:pPr>
              <w:rPr>
                <w:b/>
                <w:bCs/>
              </w:rPr>
            </w:pPr>
            <w:r w:rsidRPr="00D62DB6">
              <w:rPr>
                <w:b/>
                <w:bCs/>
              </w:rPr>
              <w:t>Requirements for approving an SLO</w:t>
            </w:r>
          </w:p>
        </w:tc>
        <w:tc>
          <w:tcPr>
            <w:tcW w:w="2886"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4B163A3B" w14:textId="00AB7FCD" w:rsidR="00B4063C" w:rsidRPr="00ED72A6" w:rsidRDefault="00096106" w:rsidP="006D4402">
            <w:pPr>
              <w:rPr>
                <w:sz w:val="20"/>
                <w:szCs w:val="20"/>
              </w:rPr>
            </w:pPr>
            <w:r>
              <w:rPr>
                <w:sz w:val="20"/>
                <w:szCs w:val="20"/>
              </w:rPr>
              <w:t>Teacher appraisers do not approve SLOs</w:t>
            </w:r>
          </w:p>
        </w:tc>
        <w:tc>
          <w:tcPr>
            <w:tcW w:w="2893"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2EC4C8F8" w14:textId="78A84BDE" w:rsidR="00B4063C" w:rsidRPr="00ED72A6" w:rsidRDefault="005F1C9D" w:rsidP="006D4402">
            <w:pPr>
              <w:rPr>
                <w:sz w:val="20"/>
                <w:szCs w:val="20"/>
              </w:rPr>
            </w:pPr>
            <w:r>
              <w:rPr>
                <w:sz w:val="20"/>
                <w:szCs w:val="20"/>
              </w:rPr>
              <w:t xml:space="preserve">Some teacher appraisers approve SLOs </w:t>
            </w:r>
            <w:r w:rsidR="00E05174">
              <w:rPr>
                <w:sz w:val="20"/>
                <w:szCs w:val="20"/>
              </w:rPr>
              <w:t>but not all</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E5E9C46" w14:textId="310C34F5" w:rsidR="00823060" w:rsidRPr="00B77B52" w:rsidRDefault="00452446" w:rsidP="006D4402">
            <w:pPr>
              <w:rPr>
                <w:sz w:val="20"/>
                <w:szCs w:val="20"/>
              </w:rPr>
            </w:pPr>
            <w:r w:rsidRPr="00432BFC">
              <w:rPr>
                <w:sz w:val="20"/>
                <w:szCs w:val="20"/>
              </w:rPr>
              <w:t xml:space="preserve">All </w:t>
            </w:r>
            <w:r w:rsidR="00F82649" w:rsidRPr="00432BFC">
              <w:rPr>
                <w:sz w:val="20"/>
                <w:szCs w:val="20"/>
              </w:rPr>
              <w:t>SLOs</w:t>
            </w:r>
            <w:r w:rsidR="001A1AC7" w:rsidRPr="00432BFC">
              <w:rPr>
                <w:sz w:val="20"/>
                <w:szCs w:val="20"/>
              </w:rPr>
              <w:t xml:space="preserve"> are approved by teacher appraiser</w:t>
            </w:r>
            <w:r w:rsidRPr="00432BFC">
              <w:rPr>
                <w:sz w:val="20"/>
                <w:szCs w:val="20"/>
              </w:rPr>
              <w:t>s who follow guidance for approving SLOs as listed on the Texas SLO website</w:t>
            </w:r>
          </w:p>
        </w:tc>
      </w:tr>
      <w:tr w:rsidR="00D016A8" w:rsidRPr="00ED72A6" w14:paraId="1BA609D3" w14:textId="77777777" w:rsidTr="00D016A8">
        <w:tc>
          <w:tcPr>
            <w:tcW w:w="2586" w:type="dxa"/>
            <w:tcBorders>
              <w:top w:val="single" w:sz="4" w:space="0" w:color="FFFFFF"/>
              <w:left w:val="single" w:sz="4" w:space="0" w:color="FFFFFF" w:themeColor="background1"/>
              <w:bottom w:val="single" w:sz="4" w:space="0" w:color="FFFFFF"/>
              <w:right w:val="single" w:sz="4" w:space="0" w:color="FFFFFF"/>
            </w:tcBorders>
            <w:shd w:val="clear" w:color="auto" w:fill="DEEAF6" w:themeFill="accent5" w:themeFillTint="33"/>
          </w:tcPr>
          <w:p w14:paraId="4393D11C" w14:textId="6FAA00F3" w:rsidR="009913C2" w:rsidRPr="00D62DB6" w:rsidRDefault="009913C2" w:rsidP="00D62DB6">
            <w:pPr>
              <w:rPr>
                <w:b/>
                <w:bCs/>
              </w:rPr>
            </w:pPr>
            <w:r w:rsidRPr="00D62DB6">
              <w:rPr>
                <w:b/>
                <w:bCs/>
              </w:rPr>
              <w:t xml:space="preserve">Requirements for tracking </w:t>
            </w:r>
            <w:r w:rsidR="00946965" w:rsidRPr="00D62DB6">
              <w:rPr>
                <w:b/>
                <w:bCs/>
              </w:rPr>
              <w:t xml:space="preserve">a body of </w:t>
            </w:r>
            <w:r w:rsidRPr="00D62DB6">
              <w:rPr>
                <w:b/>
                <w:bCs/>
              </w:rPr>
              <w:t>evidence for an SLO</w:t>
            </w:r>
          </w:p>
        </w:tc>
        <w:tc>
          <w:tcPr>
            <w:tcW w:w="2886"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18CA0839" w14:textId="7AE1A7AC" w:rsidR="009913C2" w:rsidRPr="00C85090" w:rsidRDefault="00753769" w:rsidP="006D4402">
            <w:pPr>
              <w:rPr>
                <w:sz w:val="20"/>
                <w:szCs w:val="20"/>
              </w:rPr>
            </w:pPr>
            <w:r w:rsidRPr="00C85090">
              <w:rPr>
                <w:sz w:val="20"/>
                <w:szCs w:val="20"/>
              </w:rPr>
              <w:t>There are no procedures in place to track evidence that will be used to determine student growth</w:t>
            </w:r>
            <w:r w:rsidR="002F5601" w:rsidRPr="00C85090">
              <w:rPr>
                <w:sz w:val="20"/>
                <w:szCs w:val="20"/>
              </w:rPr>
              <w:t xml:space="preserve"> using the SLO</w:t>
            </w:r>
          </w:p>
        </w:tc>
        <w:tc>
          <w:tcPr>
            <w:tcW w:w="2893"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9AA3F83" w14:textId="105172E4" w:rsidR="009913C2" w:rsidRPr="00C85090" w:rsidRDefault="00E8606D" w:rsidP="006D4402">
            <w:pPr>
              <w:rPr>
                <w:sz w:val="20"/>
                <w:szCs w:val="20"/>
              </w:rPr>
            </w:pPr>
            <w:r w:rsidRPr="00C85090">
              <w:rPr>
                <w:sz w:val="20"/>
                <w:szCs w:val="20"/>
              </w:rPr>
              <w:t>Procedures are in place to track evidence that will be used in determining student growth</w:t>
            </w:r>
            <w:r w:rsidR="00B64D44" w:rsidRPr="00C85090">
              <w:rPr>
                <w:sz w:val="20"/>
                <w:szCs w:val="20"/>
              </w:rPr>
              <w:t xml:space="preserve"> using the SLO</w:t>
            </w:r>
            <w:r w:rsidR="009A2A19" w:rsidRPr="00C85090">
              <w:rPr>
                <w:sz w:val="20"/>
                <w:szCs w:val="20"/>
              </w:rPr>
              <w:t xml:space="preserve"> for some teachers, but not all</w:t>
            </w:r>
            <w:r w:rsidR="004E71D2">
              <w:rPr>
                <w:sz w:val="20"/>
                <w:szCs w:val="20"/>
              </w:rPr>
              <w:t xml:space="preserve"> and/or there are limited</w:t>
            </w:r>
            <w:r w:rsidR="001E5F1D">
              <w:rPr>
                <w:sz w:val="20"/>
                <w:szCs w:val="20"/>
              </w:rPr>
              <w:t xml:space="preserve"> data points instead of a body of evidence</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33533F09" w14:textId="58296455" w:rsidR="009913C2" w:rsidRPr="00C85090" w:rsidRDefault="5D4A1E13" w:rsidP="3E627EB8">
            <w:pPr>
              <w:rPr>
                <w:sz w:val="20"/>
                <w:szCs w:val="20"/>
              </w:rPr>
            </w:pPr>
            <w:r w:rsidRPr="00C85090">
              <w:rPr>
                <w:sz w:val="20"/>
                <w:szCs w:val="20"/>
              </w:rPr>
              <w:t xml:space="preserve">Clear procedures and protocols are in place for teachers to track </w:t>
            </w:r>
            <w:r w:rsidR="00C85090" w:rsidRPr="00C85090">
              <w:rPr>
                <w:sz w:val="20"/>
                <w:szCs w:val="20"/>
              </w:rPr>
              <w:t xml:space="preserve">a body of </w:t>
            </w:r>
            <w:r w:rsidRPr="00C85090">
              <w:rPr>
                <w:sz w:val="20"/>
                <w:szCs w:val="20"/>
              </w:rPr>
              <w:t>evidence they will use to determine student growth based on the SLO and teacher appraisers</w:t>
            </w:r>
            <w:r w:rsidR="1931A34D" w:rsidRPr="00C85090">
              <w:rPr>
                <w:sz w:val="20"/>
                <w:szCs w:val="20"/>
              </w:rPr>
              <w:t xml:space="preserve"> review this evidence</w:t>
            </w:r>
            <w:r w:rsidR="00C660CD">
              <w:rPr>
                <w:sz w:val="20"/>
                <w:szCs w:val="20"/>
              </w:rPr>
              <w:t>. A body of evidence with multiple data points is required</w:t>
            </w:r>
          </w:p>
        </w:tc>
      </w:tr>
      <w:tr w:rsidR="00D016A8" w:rsidRPr="00ED72A6" w14:paraId="24A6965D" w14:textId="77777777" w:rsidTr="00D016A8">
        <w:tc>
          <w:tcPr>
            <w:tcW w:w="2586" w:type="dxa"/>
            <w:tcBorders>
              <w:top w:val="single" w:sz="4" w:space="0" w:color="FFFFFF"/>
              <w:left w:val="single" w:sz="4" w:space="0" w:color="FFFFFF" w:themeColor="background1"/>
              <w:bottom w:val="single" w:sz="4" w:space="0" w:color="FFFFFF"/>
              <w:right w:val="single" w:sz="4" w:space="0" w:color="FFFFFF"/>
            </w:tcBorders>
            <w:shd w:val="clear" w:color="auto" w:fill="DEEAF6" w:themeFill="accent5" w:themeFillTint="33"/>
          </w:tcPr>
          <w:p w14:paraId="178769C2" w14:textId="1462F81C" w:rsidR="006D4402" w:rsidRPr="00D62DB6" w:rsidRDefault="006D4402" w:rsidP="00D62DB6">
            <w:pPr>
              <w:rPr>
                <w:b/>
                <w:bCs/>
              </w:rPr>
            </w:pPr>
            <w:r w:rsidRPr="00D62DB6">
              <w:rPr>
                <w:b/>
                <w:bCs/>
              </w:rPr>
              <w:lastRenderedPageBreak/>
              <w:t xml:space="preserve">Calculation of </w:t>
            </w:r>
            <w:r w:rsidR="00EF5326" w:rsidRPr="00D62DB6">
              <w:rPr>
                <w:b/>
                <w:bCs/>
              </w:rPr>
              <w:t>teachers’</w:t>
            </w:r>
            <w:r w:rsidRPr="00D62DB6">
              <w:rPr>
                <w:b/>
                <w:bCs/>
              </w:rPr>
              <w:t xml:space="preserve"> </w:t>
            </w:r>
            <w:r w:rsidR="00D70290" w:rsidRPr="00D62DB6">
              <w:rPr>
                <w:b/>
                <w:bCs/>
              </w:rPr>
              <w:t xml:space="preserve">end of year student growth </w:t>
            </w:r>
            <w:r w:rsidR="00EF5326" w:rsidRPr="00D62DB6">
              <w:rPr>
                <w:b/>
                <w:bCs/>
              </w:rPr>
              <w:t>rating</w:t>
            </w:r>
            <w:r w:rsidR="00F7307B" w:rsidRPr="00D62DB6">
              <w:rPr>
                <w:b/>
                <w:bCs/>
              </w:rPr>
              <w:t xml:space="preserve"> using</w:t>
            </w:r>
            <w:r w:rsidR="00D70290" w:rsidRPr="00D62DB6">
              <w:rPr>
                <w:b/>
                <w:bCs/>
              </w:rPr>
              <w:t xml:space="preserve"> an SLO</w:t>
            </w:r>
          </w:p>
          <w:p w14:paraId="67FE5903" w14:textId="6273A11D" w:rsidR="006D4402" w:rsidRPr="00ED72A6" w:rsidRDefault="006D4402" w:rsidP="00D62DB6">
            <w:pPr>
              <w:rPr>
                <w:i/>
                <w:iCs/>
              </w:rPr>
            </w:pPr>
          </w:p>
        </w:tc>
        <w:tc>
          <w:tcPr>
            <w:tcW w:w="2886"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23A9A647" w14:textId="0674410C" w:rsidR="006D4402" w:rsidRPr="00ED72A6" w:rsidRDefault="006D4402" w:rsidP="006D4402">
            <w:pPr>
              <w:rPr>
                <w:sz w:val="20"/>
                <w:szCs w:val="20"/>
              </w:rPr>
            </w:pPr>
            <w:r w:rsidRPr="00ED72A6">
              <w:rPr>
                <w:sz w:val="20"/>
                <w:szCs w:val="20"/>
              </w:rPr>
              <w:t xml:space="preserve">Student growth data </w:t>
            </w:r>
            <w:r w:rsidR="001B2482">
              <w:rPr>
                <w:sz w:val="20"/>
                <w:szCs w:val="20"/>
              </w:rPr>
              <w:t>based on the SLO</w:t>
            </w:r>
            <w:r w:rsidRPr="00ED72A6">
              <w:rPr>
                <w:sz w:val="20"/>
                <w:szCs w:val="20"/>
              </w:rPr>
              <w:t xml:space="preserve"> is not calculated at the individual teacher level</w:t>
            </w:r>
          </w:p>
        </w:tc>
        <w:tc>
          <w:tcPr>
            <w:tcW w:w="2893"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E5CB1A2" w14:textId="09F711E4" w:rsidR="006D4402" w:rsidRPr="00ED72A6" w:rsidRDefault="006D4402" w:rsidP="006D4402">
            <w:pPr>
              <w:rPr>
                <w:sz w:val="20"/>
                <w:szCs w:val="20"/>
              </w:rPr>
            </w:pPr>
            <w:r w:rsidRPr="00ED72A6">
              <w:rPr>
                <w:sz w:val="20"/>
                <w:szCs w:val="20"/>
              </w:rPr>
              <w:t xml:space="preserve">Student growth data </w:t>
            </w:r>
            <w:r w:rsidR="004A6EC3">
              <w:rPr>
                <w:sz w:val="20"/>
                <w:szCs w:val="20"/>
              </w:rPr>
              <w:t>based on the SLO</w:t>
            </w:r>
            <w:r w:rsidRPr="00ED72A6">
              <w:rPr>
                <w:sz w:val="20"/>
                <w:szCs w:val="20"/>
              </w:rPr>
              <w:t xml:space="preserve"> is calculated at the level of </w:t>
            </w:r>
            <w:r w:rsidR="004A6EC3">
              <w:rPr>
                <w:sz w:val="20"/>
                <w:szCs w:val="20"/>
              </w:rPr>
              <w:t xml:space="preserve">the </w:t>
            </w:r>
            <w:r w:rsidRPr="00ED72A6">
              <w:rPr>
                <w:sz w:val="20"/>
                <w:szCs w:val="20"/>
              </w:rPr>
              <w:t xml:space="preserve">individual </w:t>
            </w:r>
            <w:r w:rsidR="00ED3526">
              <w:rPr>
                <w:sz w:val="20"/>
                <w:szCs w:val="20"/>
              </w:rPr>
              <w:t>student</w:t>
            </w:r>
            <w:r w:rsidRPr="00ED72A6">
              <w:rPr>
                <w:sz w:val="20"/>
                <w:szCs w:val="20"/>
              </w:rPr>
              <w:t>, but the process by which it is calculated is unclear or unknown</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2651A152" w14:textId="4A6BB196" w:rsidR="006D4402" w:rsidRPr="00C85090" w:rsidRDefault="006D4402" w:rsidP="006D4402">
            <w:pPr>
              <w:rPr>
                <w:sz w:val="20"/>
                <w:szCs w:val="20"/>
              </w:rPr>
            </w:pPr>
            <w:r w:rsidRPr="00ED72A6">
              <w:rPr>
                <w:sz w:val="20"/>
                <w:szCs w:val="20"/>
              </w:rPr>
              <w:t xml:space="preserve">Clear and published procedures exist for how student growth data </w:t>
            </w:r>
            <w:r w:rsidR="00461B06">
              <w:rPr>
                <w:sz w:val="20"/>
                <w:szCs w:val="20"/>
              </w:rPr>
              <w:t>based on the SLO</w:t>
            </w:r>
            <w:r w:rsidRPr="00ED72A6">
              <w:rPr>
                <w:sz w:val="20"/>
                <w:szCs w:val="20"/>
              </w:rPr>
              <w:t xml:space="preserve"> is calculated </w:t>
            </w:r>
            <w:r w:rsidR="004C7442">
              <w:rPr>
                <w:sz w:val="20"/>
                <w:szCs w:val="20"/>
              </w:rPr>
              <w:t xml:space="preserve">for </w:t>
            </w:r>
            <w:r w:rsidRPr="00ED72A6">
              <w:rPr>
                <w:sz w:val="20"/>
                <w:szCs w:val="20"/>
              </w:rPr>
              <w:t xml:space="preserve">each individual </w:t>
            </w:r>
            <w:r w:rsidR="00D4676F">
              <w:rPr>
                <w:sz w:val="20"/>
                <w:szCs w:val="20"/>
              </w:rPr>
              <w:t>student</w:t>
            </w:r>
            <w:r w:rsidR="007F6A15">
              <w:rPr>
                <w:sz w:val="20"/>
                <w:szCs w:val="20"/>
              </w:rPr>
              <w:t xml:space="preserve"> and how </w:t>
            </w:r>
            <w:r w:rsidR="002C357A">
              <w:rPr>
                <w:sz w:val="20"/>
                <w:szCs w:val="20"/>
              </w:rPr>
              <w:t>this data is used to determine the teachers’ end of year student growth rating</w:t>
            </w:r>
            <w:r w:rsidRPr="00ED72A6">
              <w:rPr>
                <w:sz w:val="20"/>
                <w:szCs w:val="20"/>
              </w:rPr>
              <w:t xml:space="preserve"> for all </w:t>
            </w:r>
            <w:r w:rsidR="002C357A" w:rsidRPr="002C357A">
              <w:rPr>
                <w:sz w:val="20"/>
                <w:szCs w:val="20"/>
              </w:rPr>
              <w:t xml:space="preserve">teachers in </w:t>
            </w:r>
            <w:r w:rsidR="00F542DF">
              <w:rPr>
                <w:sz w:val="20"/>
                <w:szCs w:val="20"/>
              </w:rPr>
              <w:t xml:space="preserve">applicable </w:t>
            </w:r>
            <w:r w:rsidRPr="00ED72A6">
              <w:rPr>
                <w:sz w:val="20"/>
                <w:szCs w:val="20"/>
              </w:rPr>
              <w:t xml:space="preserve">eligible </w:t>
            </w:r>
            <w:r w:rsidR="002C357A" w:rsidRPr="002C357A">
              <w:rPr>
                <w:sz w:val="20"/>
                <w:szCs w:val="20"/>
              </w:rPr>
              <w:t>teaching assignments</w:t>
            </w:r>
            <w:r w:rsidR="002C357A">
              <w:rPr>
                <w:sz w:val="20"/>
                <w:szCs w:val="20"/>
              </w:rPr>
              <w:t>.</w:t>
            </w:r>
            <w:r w:rsidRPr="002C357A">
              <w:rPr>
                <w:sz w:val="20"/>
                <w:szCs w:val="20"/>
              </w:rPr>
              <w:t xml:space="preserve"> </w:t>
            </w:r>
            <w:r w:rsidR="002C357A">
              <w:rPr>
                <w:sz w:val="20"/>
                <w:szCs w:val="20"/>
              </w:rPr>
              <w:t>T</w:t>
            </w:r>
            <w:r w:rsidRPr="00ED72A6">
              <w:rPr>
                <w:sz w:val="20"/>
                <w:szCs w:val="20"/>
              </w:rPr>
              <w:t xml:space="preserve">he district shares individual teacher’s student growth </w:t>
            </w:r>
            <w:r w:rsidR="002C357A">
              <w:rPr>
                <w:sz w:val="20"/>
                <w:szCs w:val="20"/>
              </w:rPr>
              <w:t>ratings</w:t>
            </w:r>
            <w:r w:rsidRPr="00ED72A6">
              <w:rPr>
                <w:sz w:val="20"/>
                <w:szCs w:val="20"/>
              </w:rPr>
              <w:t xml:space="preserve"> with teachers in a cl</w:t>
            </w:r>
            <w:r w:rsidR="00D663B6">
              <w:rPr>
                <w:sz w:val="20"/>
                <w:szCs w:val="20"/>
              </w:rPr>
              <w:t xml:space="preserve">ear </w:t>
            </w:r>
            <w:r w:rsidRPr="00ED72A6">
              <w:rPr>
                <w:sz w:val="20"/>
                <w:szCs w:val="20"/>
              </w:rPr>
              <w:t>and timely manner</w:t>
            </w:r>
          </w:p>
        </w:tc>
      </w:tr>
    </w:tbl>
    <w:p w14:paraId="4F5758E7" w14:textId="77777777" w:rsidR="00AC63FB" w:rsidRDefault="00AC63FB" w:rsidP="00ED72A6">
      <w:pPr>
        <w:rPr>
          <w:sz w:val="24"/>
          <w:szCs w:val="24"/>
        </w:rPr>
      </w:pPr>
    </w:p>
    <w:p w14:paraId="35D91F44" w14:textId="69E7017D" w:rsidR="003D7936" w:rsidRPr="009937C8" w:rsidRDefault="008A7948" w:rsidP="00ED72A6">
      <w:pPr>
        <w:rPr>
          <w:sz w:val="24"/>
          <w:szCs w:val="24"/>
        </w:rPr>
      </w:pPr>
      <w:r w:rsidRPr="00783924">
        <w:rPr>
          <w:sz w:val="24"/>
          <w:szCs w:val="24"/>
        </w:rPr>
        <w:t>Pre-test/Post-Test</w:t>
      </w:r>
    </w:p>
    <w:tbl>
      <w:tblPr>
        <w:tblStyle w:val="TableGrid"/>
        <w:tblpPr w:leftFromText="180" w:rightFromText="180" w:vertAnchor="text" w:tblpY="1"/>
        <w:tblOverlap w:val="never"/>
        <w:tblW w:w="14665" w:type="dxa"/>
        <w:tblLook w:val="04A0" w:firstRow="1" w:lastRow="0" w:firstColumn="1" w:lastColumn="0" w:noHBand="0" w:noVBand="1"/>
      </w:tblPr>
      <w:tblGrid>
        <w:gridCol w:w="2245"/>
        <w:gridCol w:w="2700"/>
        <w:gridCol w:w="3510"/>
        <w:gridCol w:w="6210"/>
      </w:tblGrid>
      <w:tr w:rsidR="006318C5" w:rsidRPr="00ED72A6" w14:paraId="18C0FEE4" w14:textId="77777777" w:rsidTr="00D016A8">
        <w:trPr>
          <w:trHeight w:val="323"/>
        </w:trPr>
        <w:tc>
          <w:tcPr>
            <w:tcW w:w="2245" w:type="dxa"/>
            <w:tcBorders>
              <w:top w:val="single" w:sz="4" w:space="0" w:color="FFFFFF"/>
              <w:left w:val="single" w:sz="4" w:space="0" w:color="FFFFFF"/>
              <w:bottom w:val="single" w:sz="4" w:space="0" w:color="FFFFFF"/>
              <w:right w:val="single" w:sz="4" w:space="0" w:color="FFFFFF"/>
            </w:tcBorders>
            <w:shd w:val="clear" w:color="auto" w:fill="0D6CB9" w:themeFill="text2"/>
          </w:tcPr>
          <w:p w14:paraId="300DA214" w14:textId="77777777" w:rsidR="006318C5" w:rsidRPr="00ED72A6" w:rsidRDefault="006318C5" w:rsidP="00D62DB6">
            <w:pPr>
              <w:rPr>
                <w:b/>
                <w:bCs/>
                <w:sz w:val="24"/>
                <w:szCs w:val="24"/>
              </w:rPr>
            </w:pPr>
            <w:r w:rsidRPr="001C5131">
              <w:rPr>
                <w:b/>
                <w:bCs/>
                <w:color w:val="FFFFFF" w:themeColor="background1"/>
                <w:sz w:val="24"/>
                <w:szCs w:val="24"/>
              </w:rPr>
              <w:t>Component</w:t>
            </w:r>
          </w:p>
        </w:tc>
        <w:tc>
          <w:tcPr>
            <w:tcW w:w="2700" w:type="dxa"/>
            <w:tcBorders>
              <w:top w:val="single" w:sz="4" w:space="0" w:color="FFFFFF"/>
              <w:left w:val="single" w:sz="4" w:space="0" w:color="FFFFFF"/>
              <w:bottom w:val="single" w:sz="4" w:space="0" w:color="FFFFFF"/>
              <w:right w:val="single" w:sz="4" w:space="0" w:color="FFFFFF"/>
            </w:tcBorders>
            <w:shd w:val="clear" w:color="auto" w:fill="F16038" w:themeFill="accent2"/>
          </w:tcPr>
          <w:p w14:paraId="160F9FC7" w14:textId="77777777" w:rsidR="006318C5" w:rsidRPr="00ED72A6" w:rsidRDefault="006318C5" w:rsidP="00D62DB6">
            <w:pPr>
              <w:rPr>
                <w:b/>
                <w:bCs/>
                <w:sz w:val="24"/>
                <w:szCs w:val="24"/>
              </w:rPr>
            </w:pPr>
            <w:r w:rsidRPr="00663B4C">
              <w:rPr>
                <w:b/>
                <w:bCs/>
                <w:color w:val="242424" w:themeColor="text1"/>
                <w:sz w:val="24"/>
                <w:szCs w:val="24"/>
              </w:rPr>
              <w:t>Limited or no Readiness</w:t>
            </w:r>
          </w:p>
        </w:tc>
        <w:tc>
          <w:tcPr>
            <w:tcW w:w="3510" w:type="dxa"/>
            <w:tcBorders>
              <w:top w:val="single" w:sz="4" w:space="0" w:color="FFFFFF"/>
              <w:left w:val="single" w:sz="4" w:space="0" w:color="FFFFFF"/>
              <w:bottom w:val="single" w:sz="4" w:space="0" w:color="FFFFFF"/>
              <w:right w:val="single" w:sz="4" w:space="0" w:color="FFFFFF"/>
            </w:tcBorders>
            <w:shd w:val="clear" w:color="auto" w:fill="F8CC2A" w:themeFill="accent6"/>
          </w:tcPr>
          <w:p w14:paraId="707145D8" w14:textId="77777777" w:rsidR="006318C5" w:rsidRPr="00ED72A6" w:rsidRDefault="006318C5" w:rsidP="00D62DB6">
            <w:pPr>
              <w:rPr>
                <w:b/>
                <w:bCs/>
                <w:sz w:val="24"/>
                <w:szCs w:val="24"/>
              </w:rPr>
            </w:pPr>
            <w:r w:rsidRPr="00ED72A6">
              <w:rPr>
                <w:b/>
                <w:bCs/>
                <w:sz w:val="24"/>
                <w:szCs w:val="24"/>
              </w:rPr>
              <w:t>Partial Readiness</w:t>
            </w:r>
          </w:p>
        </w:tc>
        <w:tc>
          <w:tcPr>
            <w:tcW w:w="6210" w:type="dxa"/>
            <w:tcBorders>
              <w:top w:val="single" w:sz="4" w:space="0" w:color="FFFFFF"/>
              <w:left w:val="single" w:sz="4" w:space="0" w:color="FFFFFF"/>
              <w:bottom w:val="single" w:sz="4" w:space="0" w:color="FFFFFF"/>
              <w:right w:val="single" w:sz="4" w:space="0" w:color="FFFFFF"/>
            </w:tcBorders>
            <w:shd w:val="clear" w:color="auto" w:fill="92C841" w:themeFill="accent3"/>
          </w:tcPr>
          <w:p w14:paraId="44916448" w14:textId="77777777" w:rsidR="006318C5" w:rsidRPr="00ED72A6" w:rsidRDefault="006318C5" w:rsidP="00D62DB6">
            <w:pPr>
              <w:rPr>
                <w:b/>
                <w:bCs/>
                <w:sz w:val="24"/>
                <w:szCs w:val="24"/>
              </w:rPr>
            </w:pPr>
            <w:r w:rsidRPr="00ED72A6">
              <w:rPr>
                <w:b/>
                <w:bCs/>
                <w:sz w:val="24"/>
                <w:szCs w:val="24"/>
              </w:rPr>
              <w:t xml:space="preserve">Full Readiness </w:t>
            </w:r>
          </w:p>
        </w:tc>
      </w:tr>
      <w:tr w:rsidR="001C5131" w:rsidRPr="007A730C" w14:paraId="2F334F6E"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441B3678" w14:textId="10835911" w:rsidR="00B04584" w:rsidRPr="00D62DB6" w:rsidRDefault="00B04584" w:rsidP="00D62DB6">
            <w:pPr>
              <w:rPr>
                <w:b/>
                <w:bCs/>
              </w:rPr>
            </w:pPr>
            <w:r w:rsidRPr="00D62DB6">
              <w:rPr>
                <w:b/>
                <w:bCs/>
              </w:rPr>
              <w:t>Validity and reliability in administration and scoring of pre-tests/post-tests</w:t>
            </w:r>
          </w:p>
          <w:p w14:paraId="16C67D9E" w14:textId="77777777" w:rsidR="000A46B2" w:rsidRDefault="000A46B2" w:rsidP="00D62DB6">
            <w:pPr>
              <w:rPr>
                <w:b/>
                <w:bCs/>
              </w:rPr>
            </w:pPr>
          </w:p>
          <w:p w14:paraId="63056711" w14:textId="77777777" w:rsidR="00B04584" w:rsidRPr="00ED72A6" w:rsidRDefault="00B04584" w:rsidP="00D62DB6">
            <w:pPr>
              <w:rPr>
                <w:b/>
                <w:bCs/>
              </w:rPr>
            </w:pPr>
          </w:p>
          <w:p w14:paraId="192F9123" w14:textId="77777777" w:rsidR="00B04584" w:rsidRPr="00ED72A6" w:rsidRDefault="00B04584" w:rsidP="00D62DB6">
            <w:pPr>
              <w:rPr>
                <w:b/>
                <w:bCs/>
              </w:rPr>
            </w:pP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50DFB6CB" w14:textId="1AFFE189" w:rsidR="00B04584" w:rsidRPr="00ED72A6" w:rsidRDefault="00B04584" w:rsidP="00D62DB6">
            <w:pPr>
              <w:rPr>
                <w:sz w:val="20"/>
                <w:szCs w:val="20"/>
              </w:rPr>
            </w:pPr>
            <w:r w:rsidRPr="00ED72A6">
              <w:rPr>
                <w:sz w:val="20"/>
                <w:szCs w:val="20"/>
              </w:rPr>
              <w:t>District has few or no standard procedures in place for the reliable and valid administration</w:t>
            </w:r>
            <w:r w:rsidR="00407C3D">
              <w:rPr>
                <w:sz w:val="20"/>
                <w:szCs w:val="20"/>
              </w:rPr>
              <w:t xml:space="preserve"> of</w:t>
            </w:r>
            <w:r w:rsidRPr="00ED72A6">
              <w:rPr>
                <w:sz w:val="20"/>
                <w:szCs w:val="20"/>
              </w:rPr>
              <w:t xml:space="preserve"> </w:t>
            </w:r>
            <w:r w:rsidR="00D671F7">
              <w:rPr>
                <w:sz w:val="20"/>
                <w:szCs w:val="20"/>
              </w:rPr>
              <w:t>the pre-test/post-test</w:t>
            </w:r>
            <w:r w:rsidRPr="00ED72A6">
              <w:rPr>
                <w:sz w:val="20"/>
                <w:szCs w:val="20"/>
              </w:rPr>
              <w:t xml:space="preserve">. District provides no guidance on the scoring of district-created </w:t>
            </w:r>
            <w:r w:rsidR="007E4360">
              <w:rPr>
                <w:sz w:val="20"/>
                <w:szCs w:val="20"/>
              </w:rPr>
              <w:t>pre</w:t>
            </w:r>
            <w:r w:rsidR="009E1A32">
              <w:rPr>
                <w:sz w:val="20"/>
                <w:szCs w:val="20"/>
              </w:rPr>
              <w:t>-tests/post-tests</w:t>
            </w:r>
          </w:p>
        </w:tc>
        <w:tc>
          <w:tcPr>
            <w:tcW w:w="351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17463BC" w14:textId="492C71F7" w:rsidR="00B04584" w:rsidRPr="00ED72A6" w:rsidRDefault="00B04584" w:rsidP="00D62DB6">
            <w:pPr>
              <w:rPr>
                <w:sz w:val="20"/>
                <w:szCs w:val="20"/>
              </w:rPr>
            </w:pPr>
            <w:r w:rsidRPr="00ED72A6">
              <w:rPr>
                <w:sz w:val="20"/>
                <w:szCs w:val="20"/>
              </w:rPr>
              <w:t xml:space="preserve">District has procedures in place for the valid and reliable administration and scoring </w:t>
            </w:r>
            <w:r w:rsidRPr="008E6A0C">
              <w:rPr>
                <w:sz w:val="20"/>
                <w:szCs w:val="20"/>
              </w:rPr>
              <w:t xml:space="preserve">of some </w:t>
            </w:r>
            <w:r w:rsidR="001D3F09" w:rsidRPr="008E6A0C">
              <w:rPr>
                <w:sz w:val="20"/>
                <w:szCs w:val="20"/>
              </w:rPr>
              <w:t>pre-tests</w:t>
            </w:r>
            <w:r w:rsidRPr="008E6A0C">
              <w:rPr>
                <w:sz w:val="20"/>
                <w:szCs w:val="20"/>
              </w:rPr>
              <w:t xml:space="preserve"> </w:t>
            </w:r>
            <w:r w:rsidR="001D3F09" w:rsidRPr="008E6A0C">
              <w:rPr>
                <w:sz w:val="20"/>
                <w:szCs w:val="20"/>
              </w:rPr>
              <w:t>/post</w:t>
            </w:r>
            <w:r w:rsidR="0062047F" w:rsidRPr="008E6A0C">
              <w:rPr>
                <w:sz w:val="20"/>
                <w:szCs w:val="20"/>
              </w:rPr>
              <w:t>-tests for some eligible teaching assignments, but not all</w:t>
            </w:r>
            <w:r w:rsidR="0062047F">
              <w:rPr>
                <w:sz w:val="20"/>
                <w:szCs w:val="20"/>
              </w:rPr>
              <w:t xml:space="preserve">. </w:t>
            </w:r>
            <w:r w:rsidRPr="00ED72A6">
              <w:rPr>
                <w:sz w:val="20"/>
                <w:szCs w:val="20"/>
              </w:rPr>
              <w:t>District provides minimal guidance on the scoring of district-created student growth measures</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592302E7" w14:textId="0779A41A" w:rsidR="00B04584" w:rsidRPr="00ED72A6" w:rsidRDefault="00B04584" w:rsidP="00D62DB6">
            <w:pPr>
              <w:rPr>
                <w:sz w:val="20"/>
                <w:szCs w:val="20"/>
              </w:rPr>
            </w:pPr>
            <w:r w:rsidRPr="00ED72A6">
              <w:rPr>
                <w:sz w:val="20"/>
                <w:szCs w:val="20"/>
              </w:rPr>
              <w:t xml:space="preserve">District requires training annually on the administration </w:t>
            </w:r>
            <w:r w:rsidR="008E6A0C">
              <w:rPr>
                <w:sz w:val="20"/>
                <w:szCs w:val="20"/>
              </w:rPr>
              <w:t>each specific pre-test/post-test used</w:t>
            </w:r>
            <w:r w:rsidRPr="00ED72A6">
              <w:rPr>
                <w:sz w:val="20"/>
                <w:szCs w:val="20"/>
              </w:rPr>
              <w:t xml:space="preserve">. District has protocols in place to ensure the security of </w:t>
            </w:r>
            <w:r w:rsidR="008E6A0C">
              <w:rPr>
                <w:sz w:val="20"/>
                <w:szCs w:val="20"/>
              </w:rPr>
              <w:t>pre-test/post-test</w:t>
            </w:r>
            <w:r w:rsidRPr="00ED72A6">
              <w:rPr>
                <w:sz w:val="20"/>
                <w:szCs w:val="20"/>
              </w:rPr>
              <w:t xml:space="preserve"> documents. District provides guidance, protocols, and rubrics for the administration and scoring of each </w:t>
            </w:r>
            <w:r w:rsidR="008B7822">
              <w:rPr>
                <w:sz w:val="20"/>
                <w:szCs w:val="20"/>
              </w:rPr>
              <w:t>pre-test/post-test</w:t>
            </w:r>
            <w:r w:rsidRPr="00ED72A6">
              <w:rPr>
                <w:sz w:val="20"/>
                <w:szCs w:val="20"/>
              </w:rPr>
              <w:t xml:space="preserve"> used</w:t>
            </w:r>
            <w:r w:rsidR="00160004">
              <w:rPr>
                <w:sz w:val="20"/>
                <w:szCs w:val="20"/>
              </w:rPr>
              <w:t>, and/or scoring is provided by the 3</w:t>
            </w:r>
            <w:r w:rsidR="00160004" w:rsidRPr="00160004">
              <w:rPr>
                <w:sz w:val="20"/>
                <w:szCs w:val="20"/>
                <w:vertAlign w:val="superscript"/>
              </w:rPr>
              <w:t>rd</w:t>
            </w:r>
            <w:r w:rsidR="00160004">
              <w:rPr>
                <w:sz w:val="20"/>
                <w:szCs w:val="20"/>
              </w:rPr>
              <w:t xml:space="preserve"> party test creator</w:t>
            </w:r>
            <w:r w:rsidRPr="00ED72A6">
              <w:rPr>
                <w:sz w:val="20"/>
                <w:szCs w:val="20"/>
              </w:rPr>
              <w:t xml:space="preserve">. District ensures that </w:t>
            </w:r>
            <w:r w:rsidR="008B7822">
              <w:rPr>
                <w:sz w:val="20"/>
                <w:szCs w:val="20"/>
              </w:rPr>
              <w:t>pre-test</w:t>
            </w:r>
            <w:r w:rsidR="00794336">
              <w:rPr>
                <w:sz w:val="20"/>
                <w:szCs w:val="20"/>
              </w:rPr>
              <w:t xml:space="preserve">s/post-tests </w:t>
            </w:r>
            <w:r w:rsidRPr="00ED72A6">
              <w:rPr>
                <w:sz w:val="20"/>
                <w:szCs w:val="20"/>
              </w:rPr>
              <w:t>used are aligned to the standards for the course</w:t>
            </w:r>
          </w:p>
        </w:tc>
      </w:tr>
      <w:tr w:rsidR="00160004" w:rsidRPr="007A730C" w14:paraId="439C6F96"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26DD17D1" w14:textId="2C0D02EC" w:rsidR="00160004" w:rsidRPr="006A0A00" w:rsidRDefault="00160004" w:rsidP="006A0A00">
            <w:pPr>
              <w:rPr>
                <w:b/>
                <w:bCs/>
              </w:rPr>
            </w:pPr>
            <w:r w:rsidRPr="006A0A00">
              <w:rPr>
                <w:b/>
                <w:bCs/>
              </w:rPr>
              <w:t>Security of pre-tests/post-tests </w:t>
            </w: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0AE76FEA" w14:textId="28439B3E" w:rsidR="00160004" w:rsidRPr="006A0A00" w:rsidRDefault="00160004" w:rsidP="006A0A00">
            <w:pPr>
              <w:rPr>
                <w:sz w:val="20"/>
                <w:szCs w:val="20"/>
                <w:highlight w:val="lightGray"/>
              </w:rPr>
            </w:pPr>
            <w:r w:rsidRPr="006A0A00">
              <w:rPr>
                <w:sz w:val="20"/>
                <w:szCs w:val="20"/>
              </w:rPr>
              <w:t>District has few or no standard procedures in place to ensure the security of pre-test/post-test documents  </w:t>
            </w:r>
          </w:p>
        </w:tc>
        <w:tc>
          <w:tcPr>
            <w:tcW w:w="351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6BBD2651" w14:textId="4760650C" w:rsidR="00160004" w:rsidRPr="006A0A00" w:rsidRDefault="00160004" w:rsidP="006A0A00">
            <w:pPr>
              <w:rPr>
                <w:sz w:val="20"/>
                <w:szCs w:val="20"/>
              </w:rPr>
            </w:pPr>
            <w:r w:rsidRPr="006A0A00">
              <w:rPr>
                <w:sz w:val="20"/>
                <w:szCs w:val="20"/>
              </w:rPr>
              <w:t>District has procedures in place to ensure the security of some but not all pre-test/post-test documents.  </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5273E81D" w14:textId="56C04AF6" w:rsidR="00160004" w:rsidRPr="006A0A00" w:rsidRDefault="00160004" w:rsidP="006A0A00">
            <w:pPr>
              <w:rPr>
                <w:sz w:val="20"/>
                <w:szCs w:val="20"/>
              </w:rPr>
            </w:pPr>
            <w:r w:rsidRPr="006A0A00">
              <w:rPr>
                <w:sz w:val="20"/>
                <w:szCs w:val="20"/>
              </w:rPr>
              <w:t>District has procedures in place to ensure the security of all pre-test/post-test documents and provides training to teachers regarding test security</w:t>
            </w:r>
          </w:p>
        </w:tc>
      </w:tr>
      <w:tr w:rsidR="001C5131" w:rsidRPr="007A730C" w14:paraId="529C7679"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5AFA8269" w14:textId="0664E8C3" w:rsidR="008A7948" w:rsidRPr="00D62DB6" w:rsidRDefault="0054548E" w:rsidP="00D62DB6">
            <w:pPr>
              <w:rPr>
                <w:b/>
              </w:rPr>
            </w:pPr>
            <w:r w:rsidRPr="00D62DB6">
              <w:rPr>
                <w:b/>
                <w:bCs/>
              </w:rPr>
              <w:t>Requirement for standards aligned pre-test</w:t>
            </w:r>
            <w:r w:rsidR="00EF65DF" w:rsidRPr="00D62DB6">
              <w:rPr>
                <w:b/>
                <w:bCs/>
              </w:rPr>
              <w:t>s</w:t>
            </w:r>
            <w:r w:rsidRPr="00D62DB6">
              <w:rPr>
                <w:b/>
                <w:bCs/>
              </w:rPr>
              <w:t>/post test</w:t>
            </w:r>
            <w:r w:rsidR="00EF65DF" w:rsidRPr="00D62DB6">
              <w:rPr>
                <w:b/>
                <w:bCs/>
              </w:rPr>
              <w:t>s</w:t>
            </w:r>
          </w:p>
          <w:p w14:paraId="5769D6E0" w14:textId="77777777" w:rsidR="008A7948" w:rsidRPr="00794336" w:rsidRDefault="008A7948" w:rsidP="00D62DB6">
            <w:pPr>
              <w:rPr>
                <w:b/>
              </w:rPr>
            </w:pPr>
          </w:p>
          <w:p w14:paraId="12653C53" w14:textId="5DB0E5E2" w:rsidR="008A7948" w:rsidRPr="00794336" w:rsidRDefault="008A7948" w:rsidP="00D62DB6">
            <w:pPr>
              <w:rPr>
                <w:i/>
              </w:rPr>
            </w:pP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50C7F3AC" w14:textId="2E8EB4FB" w:rsidR="008A7948" w:rsidRPr="00794336" w:rsidRDefault="00B04584" w:rsidP="00D62DB6">
            <w:pPr>
              <w:rPr>
                <w:sz w:val="20"/>
                <w:szCs w:val="20"/>
              </w:rPr>
            </w:pPr>
            <w:r w:rsidRPr="00794336">
              <w:rPr>
                <w:sz w:val="20"/>
                <w:szCs w:val="20"/>
              </w:rPr>
              <w:t xml:space="preserve">District does not ensure </w:t>
            </w:r>
            <w:r w:rsidR="009B640A" w:rsidRPr="00794336">
              <w:rPr>
                <w:sz w:val="20"/>
                <w:szCs w:val="20"/>
              </w:rPr>
              <w:t>that</w:t>
            </w:r>
            <w:r w:rsidRPr="00794336">
              <w:rPr>
                <w:sz w:val="20"/>
                <w:szCs w:val="20"/>
              </w:rPr>
              <w:t xml:space="preserve"> </w:t>
            </w:r>
            <w:r w:rsidR="00F1698D" w:rsidRPr="00794336">
              <w:rPr>
                <w:sz w:val="20"/>
                <w:szCs w:val="20"/>
              </w:rPr>
              <w:t>pre-tests/post-tests</w:t>
            </w:r>
            <w:r w:rsidR="009B640A" w:rsidRPr="00794336">
              <w:rPr>
                <w:sz w:val="20"/>
                <w:szCs w:val="20"/>
              </w:rPr>
              <w:t xml:space="preserve"> align to and measure the standards for the course</w:t>
            </w:r>
          </w:p>
        </w:tc>
        <w:tc>
          <w:tcPr>
            <w:tcW w:w="351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21DBFE2E" w14:textId="7A401C7B" w:rsidR="008A7948" w:rsidRPr="00794336" w:rsidRDefault="008A7948" w:rsidP="00D62DB6">
            <w:pPr>
              <w:rPr>
                <w:sz w:val="20"/>
                <w:szCs w:val="20"/>
              </w:rPr>
            </w:pPr>
            <w:r w:rsidRPr="00794336">
              <w:rPr>
                <w:sz w:val="20"/>
                <w:szCs w:val="20"/>
              </w:rPr>
              <w:t>District ensures th</w:t>
            </w:r>
            <w:r w:rsidR="00FD7C4D">
              <w:rPr>
                <w:sz w:val="20"/>
                <w:szCs w:val="20"/>
              </w:rPr>
              <w:t xml:space="preserve">at the </w:t>
            </w:r>
            <w:r w:rsidR="0C4A58C5" w:rsidRPr="00794336">
              <w:rPr>
                <w:sz w:val="20"/>
                <w:szCs w:val="20"/>
              </w:rPr>
              <w:t>pre-test/post-tests</w:t>
            </w:r>
            <w:r w:rsidRPr="00794336">
              <w:rPr>
                <w:sz w:val="20"/>
                <w:szCs w:val="20"/>
              </w:rPr>
              <w:t xml:space="preserve"> used </w:t>
            </w:r>
            <w:r w:rsidR="00FD7C4D">
              <w:rPr>
                <w:sz w:val="20"/>
                <w:szCs w:val="20"/>
              </w:rPr>
              <w:t xml:space="preserve">are aligned to standards for the course only for some of the tests </w:t>
            </w:r>
            <w:r w:rsidRPr="00794336">
              <w:rPr>
                <w:sz w:val="20"/>
                <w:szCs w:val="20"/>
              </w:rPr>
              <w:t xml:space="preserve">and/or for only some </w:t>
            </w:r>
            <w:r w:rsidR="00FD7C4D">
              <w:rPr>
                <w:sz w:val="20"/>
                <w:szCs w:val="20"/>
              </w:rPr>
              <w:t>eligible teaching assignments</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5C5DC2D" w14:textId="078AD4B7" w:rsidR="008A7948" w:rsidRPr="00952DBB" w:rsidRDefault="002F452D" w:rsidP="00D62DB6">
            <w:pPr>
              <w:rPr>
                <w:sz w:val="20"/>
                <w:szCs w:val="20"/>
              </w:rPr>
            </w:pPr>
            <w:r w:rsidRPr="00794336">
              <w:rPr>
                <w:sz w:val="20"/>
                <w:szCs w:val="20"/>
              </w:rPr>
              <w:t>District use</w:t>
            </w:r>
            <w:r w:rsidR="009E342B" w:rsidRPr="00794336">
              <w:rPr>
                <w:sz w:val="20"/>
                <w:szCs w:val="20"/>
              </w:rPr>
              <w:t>s valid and reliable</w:t>
            </w:r>
            <w:r w:rsidRPr="00794336">
              <w:rPr>
                <w:sz w:val="20"/>
                <w:szCs w:val="20"/>
              </w:rPr>
              <w:t xml:space="preserve"> criteria</w:t>
            </w:r>
            <w:r w:rsidR="009E342B" w:rsidRPr="00794336">
              <w:rPr>
                <w:sz w:val="20"/>
                <w:szCs w:val="20"/>
              </w:rPr>
              <w:t>-</w:t>
            </w:r>
            <w:r w:rsidRPr="00794336">
              <w:rPr>
                <w:sz w:val="20"/>
                <w:szCs w:val="20"/>
              </w:rPr>
              <w:t>referenced or nationally normed</w:t>
            </w:r>
            <w:r w:rsidR="00413894" w:rsidRPr="00794336">
              <w:rPr>
                <w:sz w:val="20"/>
                <w:szCs w:val="20"/>
              </w:rPr>
              <w:t xml:space="preserve"> Commissioner approved assessment</w:t>
            </w:r>
            <w:r w:rsidR="00FD7C4D">
              <w:rPr>
                <w:sz w:val="20"/>
                <w:szCs w:val="20"/>
              </w:rPr>
              <w:t>s</w:t>
            </w:r>
            <w:r w:rsidR="00413894" w:rsidRPr="00794336">
              <w:rPr>
                <w:sz w:val="20"/>
                <w:szCs w:val="20"/>
              </w:rPr>
              <w:t xml:space="preserve"> as the pre-test/post</w:t>
            </w:r>
            <w:r w:rsidR="00DE330F" w:rsidRPr="00794336">
              <w:rPr>
                <w:sz w:val="20"/>
                <w:szCs w:val="20"/>
              </w:rPr>
              <w:t>-</w:t>
            </w:r>
            <w:r w:rsidR="00413894" w:rsidRPr="00794336">
              <w:rPr>
                <w:sz w:val="20"/>
                <w:szCs w:val="20"/>
              </w:rPr>
              <w:t>test</w:t>
            </w:r>
            <w:r w:rsidR="00FD7C4D">
              <w:rPr>
                <w:sz w:val="20"/>
                <w:szCs w:val="20"/>
              </w:rPr>
              <w:t xml:space="preserve"> for ea</w:t>
            </w:r>
            <w:r w:rsidR="00153A78">
              <w:rPr>
                <w:sz w:val="20"/>
                <w:szCs w:val="20"/>
              </w:rPr>
              <w:t>ch eligible teaching assignment</w:t>
            </w:r>
            <w:r w:rsidR="00C839B0" w:rsidRPr="00794336">
              <w:rPr>
                <w:sz w:val="20"/>
                <w:szCs w:val="20"/>
              </w:rPr>
              <w:t xml:space="preserve"> or </w:t>
            </w:r>
            <w:r w:rsidR="00DB6F6F" w:rsidRPr="00794336">
              <w:rPr>
                <w:sz w:val="20"/>
                <w:szCs w:val="20"/>
              </w:rPr>
              <w:t>d</w:t>
            </w:r>
            <w:r w:rsidR="00B04584" w:rsidRPr="00794336">
              <w:rPr>
                <w:sz w:val="20"/>
                <w:szCs w:val="20"/>
              </w:rPr>
              <w:t xml:space="preserve">istrict has rigorous protocols in place to ensure the validity and reliability </w:t>
            </w:r>
            <w:r w:rsidR="00C13FB5" w:rsidRPr="00794336">
              <w:rPr>
                <w:sz w:val="20"/>
                <w:szCs w:val="20"/>
              </w:rPr>
              <w:t>district created pre-tests/post-tests</w:t>
            </w:r>
            <w:r w:rsidR="00206EE6" w:rsidRPr="00794336">
              <w:rPr>
                <w:sz w:val="20"/>
                <w:szCs w:val="20"/>
              </w:rPr>
              <w:t xml:space="preserve"> that are aligned to the standards for the course</w:t>
            </w:r>
          </w:p>
        </w:tc>
      </w:tr>
      <w:tr w:rsidR="001C5131" w:rsidRPr="00ED72A6" w14:paraId="122F328F"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1283FB6F" w14:textId="4505C8C0" w:rsidR="008A7948" w:rsidRPr="00D016A8" w:rsidRDefault="001B6C3C" w:rsidP="00D62DB6">
            <w:pPr>
              <w:rPr>
                <w:b/>
                <w:bCs/>
              </w:rPr>
            </w:pPr>
            <w:r w:rsidRPr="00D62DB6">
              <w:rPr>
                <w:b/>
                <w:bCs/>
              </w:rPr>
              <w:t>Required qualifications to create pre-tests/post-tests</w:t>
            </w: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6C51956F" w14:textId="4C83056F" w:rsidR="008A7948" w:rsidRPr="001172D3" w:rsidRDefault="00E81207" w:rsidP="00D62DB6">
            <w:pPr>
              <w:rPr>
                <w:sz w:val="20"/>
                <w:szCs w:val="20"/>
              </w:rPr>
            </w:pPr>
            <w:r w:rsidRPr="001172D3">
              <w:rPr>
                <w:sz w:val="20"/>
                <w:szCs w:val="20"/>
              </w:rPr>
              <w:t>The district does not require any qualifications to create a pre-test/post-test</w:t>
            </w:r>
          </w:p>
        </w:tc>
        <w:tc>
          <w:tcPr>
            <w:tcW w:w="351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0DEA170" w14:textId="504A01C4" w:rsidR="008A7948" w:rsidRPr="001172D3" w:rsidRDefault="00E81207" w:rsidP="00D62DB6">
            <w:pPr>
              <w:rPr>
                <w:sz w:val="20"/>
                <w:szCs w:val="20"/>
              </w:rPr>
            </w:pPr>
            <w:r w:rsidRPr="001172D3">
              <w:rPr>
                <w:sz w:val="20"/>
                <w:szCs w:val="20"/>
              </w:rPr>
              <w:t xml:space="preserve">The district </w:t>
            </w:r>
            <w:r w:rsidR="007026A6" w:rsidRPr="001172D3">
              <w:rPr>
                <w:sz w:val="20"/>
                <w:szCs w:val="20"/>
              </w:rPr>
              <w:t xml:space="preserve">requires minimal qualifications to create a pre-test/post-test or requires qualifications only </w:t>
            </w:r>
            <w:r w:rsidR="00BA1463" w:rsidRPr="001172D3">
              <w:rPr>
                <w:sz w:val="20"/>
                <w:szCs w:val="20"/>
              </w:rPr>
              <w:t xml:space="preserve">for creating pre-tests/post-tests in some </w:t>
            </w:r>
            <w:r w:rsidR="0068741C" w:rsidRPr="001172D3">
              <w:rPr>
                <w:sz w:val="20"/>
                <w:szCs w:val="20"/>
              </w:rPr>
              <w:t xml:space="preserve">eligible </w:t>
            </w:r>
            <w:r w:rsidR="00B92885" w:rsidRPr="001172D3">
              <w:rPr>
                <w:sz w:val="20"/>
                <w:szCs w:val="20"/>
              </w:rPr>
              <w:t xml:space="preserve">teaching assignments </w:t>
            </w:r>
            <w:r w:rsidR="0068741C" w:rsidRPr="001172D3">
              <w:rPr>
                <w:sz w:val="20"/>
                <w:szCs w:val="20"/>
              </w:rPr>
              <w:t>but not all</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1B5E7806" w14:textId="236E7959" w:rsidR="008A7948" w:rsidRPr="006631F1" w:rsidRDefault="00325DB3" w:rsidP="00D62DB6">
            <w:pPr>
              <w:rPr>
                <w:sz w:val="20"/>
                <w:szCs w:val="20"/>
              </w:rPr>
            </w:pPr>
            <w:r w:rsidRPr="001172D3">
              <w:rPr>
                <w:sz w:val="20"/>
                <w:szCs w:val="20"/>
              </w:rPr>
              <w:t>The district</w:t>
            </w:r>
            <w:r w:rsidR="006A5152" w:rsidRPr="001172D3">
              <w:rPr>
                <w:sz w:val="20"/>
                <w:szCs w:val="20"/>
              </w:rPr>
              <w:t xml:space="preserve"> uses pre-tests/post-test </w:t>
            </w:r>
            <w:r w:rsidR="00771507" w:rsidRPr="001172D3">
              <w:rPr>
                <w:sz w:val="20"/>
                <w:szCs w:val="20"/>
              </w:rPr>
              <w:t>that are nationally</w:t>
            </w:r>
            <w:r w:rsidR="003053D5" w:rsidRPr="001172D3">
              <w:rPr>
                <w:sz w:val="20"/>
                <w:szCs w:val="20"/>
              </w:rPr>
              <w:t xml:space="preserve"> </w:t>
            </w:r>
            <w:r w:rsidR="00771507" w:rsidRPr="001172D3">
              <w:rPr>
                <w:sz w:val="20"/>
                <w:szCs w:val="20"/>
              </w:rPr>
              <w:t>normed or criteria</w:t>
            </w:r>
            <w:r w:rsidR="003053D5" w:rsidRPr="001172D3">
              <w:rPr>
                <w:sz w:val="20"/>
                <w:szCs w:val="20"/>
              </w:rPr>
              <w:t>-</w:t>
            </w:r>
            <w:r w:rsidR="00771507" w:rsidRPr="001172D3">
              <w:rPr>
                <w:sz w:val="20"/>
                <w:szCs w:val="20"/>
              </w:rPr>
              <w:t>referenced tests on the</w:t>
            </w:r>
            <w:r w:rsidR="006474AA" w:rsidRPr="001172D3">
              <w:rPr>
                <w:sz w:val="20"/>
                <w:szCs w:val="20"/>
              </w:rPr>
              <w:t xml:space="preserve"> list</w:t>
            </w:r>
            <w:r w:rsidR="003053D5" w:rsidRPr="001172D3">
              <w:rPr>
                <w:sz w:val="20"/>
                <w:szCs w:val="20"/>
              </w:rPr>
              <w:t xml:space="preserve"> of</w:t>
            </w:r>
            <w:r w:rsidR="00771507" w:rsidRPr="001172D3">
              <w:rPr>
                <w:sz w:val="20"/>
                <w:szCs w:val="20"/>
              </w:rPr>
              <w:t xml:space="preserve"> Commissioner</w:t>
            </w:r>
            <w:r w:rsidR="006474AA" w:rsidRPr="001172D3">
              <w:rPr>
                <w:sz w:val="20"/>
                <w:szCs w:val="20"/>
              </w:rPr>
              <w:t xml:space="preserve"> approved assessments or the district requires </w:t>
            </w:r>
            <w:r w:rsidR="00EA054E" w:rsidRPr="001172D3">
              <w:rPr>
                <w:sz w:val="20"/>
                <w:szCs w:val="20"/>
              </w:rPr>
              <w:t>qualifications</w:t>
            </w:r>
            <w:r w:rsidR="00BC1118" w:rsidRPr="001172D3">
              <w:rPr>
                <w:sz w:val="20"/>
                <w:szCs w:val="20"/>
              </w:rPr>
              <w:t xml:space="preserve"> to create pre-tests/post-tests</w:t>
            </w:r>
            <w:r w:rsidR="00CD5BB1" w:rsidRPr="001172D3">
              <w:rPr>
                <w:sz w:val="20"/>
                <w:szCs w:val="20"/>
              </w:rPr>
              <w:t xml:space="preserve">, including </w:t>
            </w:r>
            <w:r w:rsidR="0058537C" w:rsidRPr="001172D3">
              <w:rPr>
                <w:sz w:val="20"/>
                <w:szCs w:val="20"/>
              </w:rPr>
              <w:t>multiple levels of review at both the campus and district level</w:t>
            </w:r>
          </w:p>
        </w:tc>
      </w:tr>
      <w:tr w:rsidR="001C5131" w:rsidRPr="00ED72A6" w14:paraId="56EE4DB1"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28462643" w14:textId="55101085" w:rsidR="00324D2B" w:rsidRPr="00D62DB6" w:rsidRDefault="00B22E73" w:rsidP="00D62DB6">
            <w:pPr>
              <w:rPr>
                <w:b/>
                <w:bCs/>
              </w:rPr>
            </w:pPr>
            <w:r w:rsidRPr="00D62DB6">
              <w:rPr>
                <w:b/>
                <w:bCs/>
              </w:rPr>
              <w:t>Approval process for pre-tests/post-tests</w:t>
            </w:r>
          </w:p>
          <w:p w14:paraId="171A1188" w14:textId="77777777" w:rsidR="00337D35" w:rsidRPr="009A7C63" w:rsidRDefault="00337D35" w:rsidP="00D62DB6">
            <w:pPr>
              <w:rPr>
                <w:b/>
                <w:bCs/>
              </w:rPr>
            </w:pPr>
          </w:p>
          <w:p w14:paraId="5E1F3A8A" w14:textId="29959523" w:rsidR="00337D35" w:rsidRPr="009A7C63" w:rsidRDefault="00337D35" w:rsidP="00D62DB6">
            <w:pPr>
              <w:rPr>
                <w:i/>
                <w:iCs/>
              </w:rPr>
            </w:pPr>
          </w:p>
          <w:p w14:paraId="6BD1018D" w14:textId="263695B5" w:rsidR="00337D35" w:rsidRPr="009A7C63" w:rsidRDefault="00337D35" w:rsidP="00D62DB6">
            <w:pPr>
              <w:rPr>
                <w:b/>
                <w:bCs/>
              </w:rPr>
            </w:pP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4C357595" w14:textId="4A645416" w:rsidR="00324D2B" w:rsidRPr="009A7C63" w:rsidRDefault="000150B3" w:rsidP="00D62DB6">
            <w:pPr>
              <w:rPr>
                <w:sz w:val="20"/>
                <w:szCs w:val="20"/>
              </w:rPr>
            </w:pPr>
            <w:r w:rsidRPr="009A7C63">
              <w:rPr>
                <w:sz w:val="20"/>
                <w:szCs w:val="20"/>
              </w:rPr>
              <w:lastRenderedPageBreak/>
              <w:t xml:space="preserve">Teacher created or district created pre-tests/post-tests do not require approval </w:t>
            </w:r>
            <w:r w:rsidRPr="009A7C63">
              <w:rPr>
                <w:sz w:val="20"/>
                <w:szCs w:val="20"/>
              </w:rPr>
              <w:lastRenderedPageBreak/>
              <w:t>process and/or are not aligned to standards</w:t>
            </w:r>
          </w:p>
        </w:tc>
        <w:tc>
          <w:tcPr>
            <w:tcW w:w="351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9ECBC9B" w14:textId="0F600789" w:rsidR="00324D2B" w:rsidRPr="009A7C63" w:rsidRDefault="003B4858" w:rsidP="00D62DB6">
            <w:pPr>
              <w:rPr>
                <w:sz w:val="20"/>
                <w:szCs w:val="20"/>
              </w:rPr>
            </w:pPr>
            <w:r w:rsidRPr="009A7C63">
              <w:rPr>
                <w:sz w:val="20"/>
                <w:szCs w:val="20"/>
              </w:rPr>
              <w:lastRenderedPageBreak/>
              <w:t>Teacher or district created pre-tests/post-tests</w:t>
            </w:r>
            <w:r w:rsidR="00EB087E" w:rsidRPr="009A7C63">
              <w:rPr>
                <w:sz w:val="20"/>
                <w:szCs w:val="20"/>
              </w:rPr>
              <w:t xml:space="preserve"> either do not require an approval process or </w:t>
            </w:r>
            <w:r w:rsidR="00527FBD" w:rsidRPr="009A7C63">
              <w:rPr>
                <w:sz w:val="20"/>
                <w:szCs w:val="20"/>
              </w:rPr>
              <w:t>are not aligned to standards</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A0C5A3A" w14:textId="1BBD2369" w:rsidR="00062B89" w:rsidRPr="006631F1" w:rsidRDefault="00BC1559" w:rsidP="00D62DB6">
            <w:pPr>
              <w:rPr>
                <w:sz w:val="20"/>
                <w:szCs w:val="20"/>
              </w:rPr>
            </w:pPr>
            <w:r w:rsidRPr="009A7C63">
              <w:rPr>
                <w:sz w:val="20"/>
                <w:szCs w:val="20"/>
              </w:rPr>
              <w:t>All pre-tests/post-tests are either</w:t>
            </w:r>
            <w:r w:rsidR="00496A20" w:rsidRPr="009A7C63">
              <w:rPr>
                <w:sz w:val="20"/>
                <w:szCs w:val="20"/>
              </w:rPr>
              <w:t xml:space="preserve"> approved</w:t>
            </w:r>
            <w:r w:rsidR="00ED498D" w:rsidRPr="009A7C63">
              <w:rPr>
                <w:sz w:val="20"/>
                <w:szCs w:val="20"/>
              </w:rPr>
              <w:t xml:space="preserve"> for use by district leaders as a Commissioner approved assessment or</w:t>
            </w:r>
            <w:r w:rsidR="00BC0F15" w:rsidRPr="009A7C63">
              <w:rPr>
                <w:sz w:val="20"/>
                <w:szCs w:val="20"/>
              </w:rPr>
              <w:t xml:space="preserve"> require</w:t>
            </w:r>
            <w:r w:rsidR="008252C1" w:rsidRPr="009A7C63">
              <w:rPr>
                <w:sz w:val="20"/>
                <w:szCs w:val="20"/>
              </w:rPr>
              <w:t xml:space="preserve"> a rigorous approval process</w:t>
            </w:r>
            <w:r w:rsidR="00B5706C" w:rsidRPr="009A7C63">
              <w:rPr>
                <w:sz w:val="20"/>
                <w:szCs w:val="20"/>
              </w:rPr>
              <w:t xml:space="preserve"> for district or teacher created pre-test</w:t>
            </w:r>
            <w:r w:rsidR="006770C5" w:rsidRPr="009A7C63">
              <w:rPr>
                <w:sz w:val="20"/>
                <w:szCs w:val="20"/>
              </w:rPr>
              <w:t>s/post/tests</w:t>
            </w:r>
            <w:r w:rsidR="009A7C63">
              <w:rPr>
                <w:sz w:val="20"/>
                <w:szCs w:val="20"/>
              </w:rPr>
              <w:t>, including</w:t>
            </w:r>
            <w:r w:rsidR="00353EFA">
              <w:rPr>
                <w:sz w:val="20"/>
                <w:szCs w:val="20"/>
              </w:rPr>
              <w:t xml:space="preserve"> checks for alignment to standards of the course, and for </w:t>
            </w:r>
            <w:r w:rsidR="009E0D59">
              <w:rPr>
                <w:sz w:val="20"/>
                <w:szCs w:val="20"/>
              </w:rPr>
              <w:t xml:space="preserve">the ability of the </w:t>
            </w:r>
            <w:r w:rsidR="009E0D59">
              <w:rPr>
                <w:sz w:val="20"/>
                <w:szCs w:val="20"/>
              </w:rPr>
              <w:lastRenderedPageBreak/>
              <w:t xml:space="preserve">tests to </w:t>
            </w:r>
            <w:r w:rsidR="00187AD0">
              <w:rPr>
                <w:sz w:val="20"/>
                <w:szCs w:val="20"/>
              </w:rPr>
              <w:t>measure student growth across a wide variety of student ability levels, (“stretch” of the test)</w:t>
            </w:r>
          </w:p>
        </w:tc>
      </w:tr>
      <w:tr w:rsidR="001C5131" w:rsidRPr="00ED72A6" w14:paraId="37E72E7E"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37B34A27" w14:textId="12248CE2" w:rsidR="008A7948" w:rsidRPr="006A0A00" w:rsidRDefault="008A7948" w:rsidP="006A0A00">
            <w:pPr>
              <w:rPr>
                <w:b/>
                <w:bCs/>
              </w:rPr>
            </w:pPr>
            <w:r w:rsidRPr="006A0A00">
              <w:rPr>
                <w:b/>
                <w:bCs/>
              </w:rPr>
              <w:lastRenderedPageBreak/>
              <w:t>Calculation of a teacher’s student growth data</w:t>
            </w:r>
          </w:p>
          <w:p w14:paraId="0E608949" w14:textId="77777777" w:rsidR="008A7948" w:rsidRPr="0092523E" w:rsidRDefault="008A7948" w:rsidP="00D62DB6">
            <w:pPr>
              <w:rPr>
                <w:i/>
              </w:rPr>
            </w:pP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287F706A" w14:textId="43F8CE20" w:rsidR="008A7948" w:rsidRPr="0092523E" w:rsidRDefault="008A7948" w:rsidP="00D62DB6">
            <w:pPr>
              <w:rPr>
                <w:sz w:val="20"/>
                <w:szCs w:val="20"/>
              </w:rPr>
            </w:pPr>
            <w:r w:rsidRPr="0092523E">
              <w:rPr>
                <w:sz w:val="20"/>
                <w:szCs w:val="20"/>
              </w:rPr>
              <w:t xml:space="preserve">Student growth data </w:t>
            </w:r>
            <w:r w:rsidR="00AA5889" w:rsidRPr="0092523E">
              <w:rPr>
                <w:sz w:val="20"/>
                <w:szCs w:val="20"/>
              </w:rPr>
              <w:t>based on pre-tests/post-tests</w:t>
            </w:r>
            <w:r w:rsidR="00B04584" w:rsidRPr="0092523E">
              <w:rPr>
                <w:sz w:val="20"/>
                <w:szCs w:val="20"/>
              </w:rPr>
              <w:t xml:space="preserve"> </w:t>
            </w:r>
            <w:r w:rsidRPr="0092523E">
              <w:rPr>
                <w:sz w:val="20"/>
                <w:szCs w:val="20"/>
              </w:rPr>
              <w:t>is not calculated at the individual teacher level</w:t>
            </w:r>
          </w:p>
        </w:tc>
        <w:tc>
          <w:tcPr>
            <w:tcW w:w="351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C086382" w14:textId="1DBB60B8" w:rsidR="008A7948" w:rsidRPr="0092523E" w:rsidRDefault="008A7948" w:rsidP="00D62DB6">
            <w:pPr>
              <w:rPr>
                <w:sz w:val="20"/>
                <w:szCs w:val="20"/>
              </w:rPr>
            </w:pPr>
            <w:r w:rsidRPr="0092523E">
              <w:rPr>
                <w:sz w:val="20"/>
                <w:szCs w:val="20"/>
              </w:rPr>
              <w:t xml:space="preserve">Student growth data </w:t>
            </w:r>
            <w:r w:rsidR="00AA5889" w:rsidRPr="0092523E">
              <w:rPr>
                <w:sz w:val="20"/>
                <w:szCs w:val="20"/>
              </w:rPr>
              <w:t>based on pre-tests/post-tests</w:t>
            </w:r>
            <w:r w:rsidR="00B04584" w:rsidRPr="0092523E">
              <w:rPr>
                <w:sz w:val="20"/>
                <w:szCs w:val="20"/>
              </w:rPr>
              <w:t xml:space="preserve"> </w:t>
            </w:r>
            <w:r w:rsidRPr="0092523E">
              <w:rPr>
                <w:sz w:val="20"/>
                <w:szCs w:val="20"/>
              </w:rPr>
              <w:t>is calculated at the level of individual teacher, but the process by which it is calculated is unclear or unknown</w:t>
            </w:r>
          </w:p>
        </w:tc>
        <w:tc>
          <w:tcPr>
            <w:tcW w:w="621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7F1A882D" w14:textId="3C5864E2" w:rsidR="008A7948" w:rsidRPr="006631F1" w:rsidRDefault="006669F9" w:rsidP="00D62DB6">
            <w:pPr>
              <w:rPr>
                <w:sz w:val="20"/>
                <w:szCs w:val="20"/>
              </w:rPr>
            </w:pPr>
            <w:r w:rsidRPr="00ED72A6">
              <w:rPr>
                <w:sz w:val="20"/>
                <w:szCs w:val="20"/>
              </w:rPr>
              <w:t xml:space="preserve">Clear and published procedures exist for how student growth data </w:t>
            </w:r>
            <w:r>
              <w:rPr>
                <w:sz w:val="20"/>
                <w:szCs w:val="20"/>
              </w:rPr>
              <w:t>based on the</w:t>
            </w:r>
            <w:r w:rsidR="00F542DF">
              <w:rPr>
                <w:sz w:val="20"/>
                <w:szCs w:val="20"/>
              </w:rPr>
              <w:t xml:space="preserve"> pre-test/post-test</w:t>
            </w:r>
            <w:r w:rsidRPr="00ED72A6">
              <w:rPr>
                <w:sz w:val="20"/>
                <w:szCs w:val="20"/>
              </w:rPr>
              <w:t xml:space="preserve"> is calculated</w:t>
            </w:r>
            <w:r>
              <w:rPr>
                <w:sz w:val="20"/>
                <w:szCs w:val="20"/>
              </w:rPr>
              <w:t xml:space="preserve"> for each individual student and how this data is used to determine the teachers’ end of year student growth rating</w:t>
            </w:r>
            <w:r w:rsidRPr="00ED72A6">
              <w:rPr>
                <w:sz w:val="20"/>
                <w:szCs w:val="20"/>
              </w:rPr>
              <w:t xml:space="preserve"> for </w:t>
            </w:r>
            <w:r w:rsidRPr="002C357A">
              <w:rPr>
                <w:sz w:val="20"/>
                <w:szCs w:val="20"/>
              </w:rPr>
              <w:t>teachers in a</w:t>
            </w:r>
            <w:r w:rsidR="00F542DF">
              <w:rPr>
                <w:sz w:val="20"/>
                <w:szCs w:val="20"/>
              </w:rPr>
              <w:t>pplicable</w:t>
            </w:r>
            <w:r w:rsidRPr="002C357A">
              <w:rPr>
                <w:sz w:val="20"/>
                <w:szCs w:val="20"/>
              </w:rPr>
              <w:t xml:space="preserve"> eligible teaching assignments</w:t>
            </w:r>
            <w:r>
              <w:rPr>
                <w:sz w:val="20"/>
                <w:szCs w:val="20"/>
              </w:rPr>
              <w:t>.</w:t>
            </w:r>
            <w:r w:rsidRPr="002C357A">
              <w:rPr>
                <w:sz w:val="20"/>
                <w:szCs w:val="20"/>
              </w:rPr>
              <w:t xml:space="preserve"> </w:t>
            </w:r>
            <w:r>
              <w:rPr>
                <w:sz w:val="20"/>
                <w:szCs w:val="20"/>
              </w:rPr>
              <w:t>T</w:t>
            </w:r>
            <w:r w:rsidRPr="00ED72A6">
              <w:rPr>
                <w:sz w:val="20"/>
                <w:szCs w:val="20"/>
              </w:rPr>
              <w:t xml:space="preserve">he district shares individual teacher’s student growth </w:t>
            </w:r>
            <w:r>
              <w:rPr>
                <w:sz w:val="20"/>
                <w:szCs w:val="20"/>
              </w:rPr>
              <w:t>ratings</w:t>
            </w:r>
            <w:r w:rsidRPr="00ED72A6">
              <w:rPr>
                <w:sz w:val="20"/>
                <w:szCs w:val="20"/>
              </w:rPr>
              <w:t xml:space="preserve"> with teachers in a clear</w:t>
            </w:r>
            <w:r w:rsidR="00E00B43">
              <w:rPr>
                <w:sz w:val="20"/>
                <w:szCs w:val="20"/>
              </w:rPr>
              <w:t xml:space="preserve"> </w:t>
            </w:r>
            <w:r w:rsidRPr="00ED72A6">
              <w:rPr>
                <w:sz w:val="20"/>
                <w:szCs w:val="20"/>
              </w:rPr>
              <w:t>and timely manner</w:t>
            </w:r>
          </w:p>
        </w:tc>
      </w:tr>
    </w:tbl>
    <w:p w14:paraId="06048BDC" w14:textId="1D674AF8" w:rsidR="009937C8" w:rsidRPr="008A7948" w:rsidRDefault="00D62DB6" w:rsidP="00ED72A6">
      <w:pPr>
        <w:rPr>
          <w:sz w:val="24"/>
          <w:szCs w:val="24"/>
        </w:rPr>
      </w:pPr>
      <w:r>
        <w:rPr>
          <w:sz w:val="24"/>
          <w:szCs w:val="24"/>
        </w:rPr>
        <w:br w:type="textWrapping" w:clear="all"/>
      </w:r>
      <w:r w:rsidR="009F39C5">
        <w:rPr>
          <w:sz w:val="24"/>
          <w:szCs w:val="24"/>
        </w:rPr>
        <w:t xml:space="preserve"> </w:t>
      </w:r>
      <w:r w:rsidR="009F39C5" w:rsidRPr="00BB3FE7">
        <w:rPr>
          <w:sz w:val="24"/>
          <w:szCs w:val="24"/>
        </w:rPr>
        <w:t>Value Added Measures</w:t>
      </w:r>
    </w:p>
    <w:tbl>
      <w:tblPr>
        <w:tblStyle w:val="TableGrid"/>
        <w:tblW w:w="14575" w:type="dxa"/>
        <w:tblLook w:val="04A0" w:firstRow="1" w:lastRow="0" w:firstColumn="1" w:lastColumn="0" w:noHBand="0" w:noVBand="1"/>
      </w:tblPr>
      <w:tblGrid>
        <w:gridCol w:w="2245"/>
        <w:gridCol w:w="2700"/>
        <w:gridCol w:w="3690"/>
        <w:gridCol w:w="5940"/>
      </w:tblGrid>
      <w:tr w:rsidR="006318C5" w:rsidRPr="00ED72A6" w14:paraId="61AA983A"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0D6CB9" w:themeFill="text2"/>
          </w:tcPr>
          <w:p w14:paraId="5EFF4AC0" w14:textId="77777777" w:rsidR="006318C5" w:rsidRPr="00ED72A6" w:rsidRDefault="006318C5" w:rsidP="00827886">
            <w:pPr>
              <w:rPr>
                <w:b/>
                <w:bCs/>
                <w:sz w:val="24"/>
                <w:szCs w:val="24"/>
              </w:rPr>
            </w:pPr>
            <w:r w:rsidRPr="001C5131">
              <w:rPr>
                <w:b/>
                <w:bCs/>
                <w:color w:val="FFFFFF" w:themeColor="background1"/>
                <w:sz w:val="24"/>
                <w:szCs w:val="24"/>
              </w:rPr>
              <w:t>Component</w:t>
            </w:r>
          </w:p>
        </w:tc>
        <w:tc>
          <w:tcPr>
            <w:tcW w:w="2700" w:type="dxa"/>
            <w:tcBorders>
              <w:top w:val="single" w:sz="4" w:space="0" w:color="FFFFFF"/>
              <w:left w:val="single" w:sz="4" w:space="0" w:color="FFFFFF"/>
              <w:bottom w:val="single" w:sz="4" w:space="0" w:color="FFFFFF"/>
              <w:right w:val="single" w:sz="4" w:space="0" w:color="FFFFFF"/>
            </w:tcBorders>
            <w:shd w:val="clear" w:color="auto" w:fill="F16038" w:themeFill="accent2"/>
          </w:tcPr>
          <w:p w14:paraId="02E383B1" w14:textId="77777777" w:rsidR="006318C5" w:rsidRPr="00ED72A6" w:rsidRDefault="006318C5" w:rsidP="00827886">
            <w:pPr>
              <w:rPr>
                <w:b/>
                <w:bCs/>
                <w:sz w:val="24"/>
                <w:szCs w:val="24"/>
              </w:rPr>
            </w:pPr>
            <w:r w:rsidRPr="00663B4C">
              <w:rPr>
                <w:b/>
                <w:bCs/>
                <w:color w:val="242424" w:themeColor="text1"/>
                <w:sz w:val="24"/>
                <w:szCs w:val="24"/>
              </w:rPr>
              <w:t>Limited or no Readiness</w:t>
            </w:r>
          </w:p>
        </w:tc>
        <w:tc>
          <w:tcPr>
            <w:tcW w:w="3690" w:type="dxa"/>
            <w:tcBorders>
              <w:top w:val="single" w:sz="4" w:space="0" w:color="FFFFFF"/>
              <w:left w:val="single" w:sz="4" w:space="0" w:color="FFFFFF"/>
              <w:bottom w:val="single" w:sz="4" w:space="0" w:color="FFFFFF"/>
              <w:right w:val="single" w:sz="4" w:space="0" w:color="FFFFFF"/>
            </w:tcBorders>
            <w:shd w:val="clear" w:color="auto" w:fill="F8CC2A" w:themeFill="accent6"/>
          </w:tcPr>
          <w:p w14:paraId="6D3FCBE7" w14:textId="77777777" w:rsidR="006318C5" w:rsidRPr="00ED72A6" w:rsidRDefault="006318C5" w:rsidP="00827886">
            <w:pPr>
              <w:rPr>
                <w:b/>
                <w:bCs/>
                <w:sz w:val="24"/>
                <w:szCs w:val="24"/>
              </w:rPr>
            </w:pPr>
            <w:r w:rsidRPr="00ED72A6">
              <w:rPr>
                <w:b/>
                <w:bCs/>
                <w:sz w:val="24"/>
                <w:szCs w:val="24"/>
              </w:rPr>
              <w:t>Partial Readiness</w:t>
            </w:r>
          </w:p>
        </w:tc>
        <w:tc>
          <w:tcPr>
            <w:tcW w:w="5940" w:type="dxa"/>
            <w:tcBorders>
              <w:top w:val="single" w:sz="4" w:space="0" w:color="FFFFFF"/>
              <w:left w:val="single" w:sz="4" w:space="0" w:color="FFFFFF"/>
              <w:bottom w:val="single" w:sz="4" w:space="0" w:color="FFFFFF"/>
              <w:right w:val="single" w:sz="4" w:space="0" w:color="FFFFFF"/>
            </w:tcBorders>
            <w:shd w:val="clear" w:color="auto" w:fill="92C841" w:themeFill="accent3"/>
          </w:tcPr>
          <w:p w14:paraId="437E5C60" w14:textId="77777777" w:rsidR="006318C5" w:rsidRPr="00ED72A6" w:rsidRDefault="006318C5" w:rsidP="00827886">
            <w:pPr>
              <w:rPr>
                <w:b/>
                <w:bCs/>
                <w:sz w:val="24"/>
                <w:szCs w:val="24"/>
              </w:rPr>
            </w:pPr>
            <w:r w:rsidRPr="00ED72A6">
              <w:rPr>
                <w:b/>
                <w:bCs/>
                <w:sz w:val="24"/>
                <w:szCs w:val="24"/>
              </w:rPr>
              <w:t xml:space="preserve">Full Readiness </w:t>
            </w:r>
          </w:p>
        </w:tc>
      </w:tr>
      <w:tr w:rsidR="00AF45CF" w14:paraId="22B2D6BF"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7F8E0E53" w14:textId="0DA9D8C0" w:rsidR="003F1BCE" w:rsidRPr="00D62DB6" w:rsidRDefault="000C50F9" w:rsidP="00D62DB6">
            <w:pPr>
              <w:rPr>
                <w:b/>
              </w:rPr>
            </w:pPr>
            <w:r w:rsidRPr="00D62DB6">
              <w:rPr>
                <w:b/>
              </w:rPr>
              <w:t>Assessments used to calculate VAM</w:t>
            </w: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07C8781F" w14:textId="6B5048D0" w:rsidR="00AF45CF" w:rsidRPr="00442E46" w:rsidRDefault="2B406421" w:rsidP="00ED72A6">
            <w:pPr>
              <w:rPr>
                <w:rFonts w:ascii="Calibri" w:eastAsia="Calibri" w:hAnsi="Calibri" w:cs="Calibri"/>
                <w:sz w:val="20"/>
                <w:szCs w:val="20"/>
              </w:rPr>
            </w:pPr>
            <w:r w:rsidRPr="00442E46">
              <w:rPr>
                <w:sz w:val="20"/>
                <w:szCs w:val="20"/>
              </w:rPr>
              <w:t xml:space="preserve">District does not use </w:t>
            </w:r>
            <w:r w:rsidRPr="00442E46">
              <w:rPr>
                <w:rFonts w:ascii="Calibri" w:eastAsia="Calibri" w:hAnsi="Calibri" w:cs="Calibri"/>
                <w:sz w:val="20"/>
                <w:szCs w:val="20"/>
              </w:rPr>
              <w:t xml:space="preserve">approved </w:t>
            </w:r>
            <w:r w:rsidR="448FAC8B" w:rsidRPr="00442E46">
              <w:rPr>
                <w:rFonts w:ascii="Calibri" w:eastAsia="Calibri" w:hAnsi="Calibri" w:cs="Calibri"/>
                <w:sz w:val="20"/>
                <w:szCs w:val="20"/>
              </w:rPr>
              <w:t xml:space="preserve">or nationally normed, standards-aligned </w:t>
            </w:r>
            <w:r w:rsidRPr="00442E46">
              <w:rPr>
                <w:rFonts w:ascii="Calibri" w:eastAsia="Calibri" w:hAnsi="Calibri" w:cs="Calibri"/>
                <w:sz w:val="20"/>
                <w:szCs w:val="20"/>
              </w:rPr>
              <w:t>assessments</w:t>
            </w:r>
            <w:r w:rsidR="448FAC8B" w:rsidRPr="00442E46">
              <w:rPr>
                <w:rFonts w:ascii="Calibri" w:eastAsia="Calibri" w:hAnsi="Calibri" w:cs="Calibri"/>
                <w:sz w:val="20"/>
                <w:szCs w:val="20"/>
              </w:rPr>
              <w:t xml:space="preserve"> to calculate V</w:t>
            </w:r>
            <w:r w:rsidR="006631F1">
              <w:rPr>
                <w:rFonts w:ascii="Calibri" w:eastAsia="Calibri" w:hAnsi="Calibri" w:cs="Calibri"/>
                <w:sz w:val="20"/>
                <w:szCs w:val="20"/>
              </w:rPr>
              <w:t>A</w:t>
            </w:r>
            <w:r w:rsidR="448FAC8B" w:rsidRPr="00442E46">
              <w:rPr>
                <w:rFonts w:ascii="Calibri" w:eastAsia="Calibri" w:hAnsi="Calibri" w:cs="Calibri"/>
                <w:sz w:val="20"/>
                <w:szCs w:val="20"/>
              </w:rPr>
              <w:t>M</w:t>
            </w:r>
          </w:p>
        </w:tc>
        <w:tc>
          <w:tcPr>
            <w:tcW w:w="369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0B4FB61" w14:textId="66B1D242" w:rsidR="00AF45CF" w:rsidRPr="00442E46" w:rsidRDefault="1171AF64" w:rsidP="00ED72A6">
            <w:pPr>
              <w:rPr>
                <w:sz w:val="20"/>
                <w:szCs w:val="20"/>
              </w:rPr>
            </w:pPr>
            <w:r w:rsidRPr="00442E46">
              <w:rPr>
                <w:sz w:val="20"/>
                <w:szCs w:val="20"/>
              </w:rPr>
              <w:t xml:space="preserve">District uses state approved or nationally normed, standards-aligned assessments to calculate VAM for </w:t>
            </w:r>
            <w:r w:rsidR="63CE6757" w:rsidRPr="00442E46">
              <w:rPr>
                <w:sz w:val="20"/>
                <w:szCs w:val="20"/>
              </w:rPr>
              <w:t>some teacher groups</w:t>
            </w:r>
            <w:r w:rsidRPr="00442E46">
              <w:rPr>
                <w:sz w:val="20"/>
                <w:szCs w:val="20"/>
              </w:rPr>
              <w:t xml:space="preserve"> </w:t>
            </w:r>
          </w:p>
        </w:tc>
        <w:tc>
          <w:tcPr>
            <w:tcW w:w="59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2A1C81F8" w14:textId="30CE2109" w:rsidR="00AF45CF" w:rsidRPr="00442E46" w:rsidRDefault="4F336928" w:rsidP="00ED72A6">
            <w:pPr>
              <w:rPr>
                <w:sz w:val="20"/>
                <w:szCs w:val="20"/>
              </w:rPr>
            </w:pPr>
            <w:r w:rsidRPr="00442E46">
              <w:rPr>
                <w:sz w:val="20"/>
                <w:szCs w:val="20"/>
              </w:rPr>
              <w:t>District uses state approved or nationally normed, standards-aligned assessments to calculate VAM</w:t>
            </w:r>
            <w:r w:rsidR="3165F853" w:rsidRPr="00442E46">
              <w:rPr>
                <w:sz w:val="20"/>
                <w:szCs w:val="20"/>
              </w:rPr>
              <w:t xml:space="preserve"> for all </w:t>
            </w:r>
            <w:r w:rsidR="225668FD" w:rsidRPr="00442E46">
              <w:rPr>
                <w:sz w:val="20"/>
                <w:szCs w:val="20"/>
              </w:rPr>
              <w:t>teacher groups</w:t>
            </w:r>
            <w:r w:rsidR="3165F853" w:rsidRPr="00442E46">
              <w:rPr>
                <w:sz w:val="20"/>
                <w:szCs w:val="20"/>
              </w:rPr>
              <w:t xml:space="preserve"> using this measure.</w:t>
            </w:r>
          </w:p>
        </w:tc>
      </w:tr>
      <w:tr w:rsidR="00AF45CF" w14:paraId="75442AFD"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17B86F19" w14:textId="6A774303" w:rsidR="003F1BCE" w:rsidRPr="00D62DB6" w:rsidRDefault="00941B45" w:rsidP="00D62DB6">
            <w:pPr>
              <w:rPr>
                <w:b/>
              </w:rPr>
            </w:pPr>
            <w:r w:rsidRPr="00D62DB6">
              <w:rPr>
                <w:b/>
              </w:rPr>
              <w:t>VAM based on multi-year data</w:t>
            </w:r>
          </w:p>
          <w:p w14:paraId="41E51416" w14:textId="4EA7D58D" w:rsidR="003F1BCE" w:rsidRPr="00442E46" w:rsidRDefault="003F1BCE" w:rsidP="00D62DB6">
            <w:pPr>
              <w:rPr>
                <w:b/>
              </w:rPr>
            </w:pP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0C405A66" w14:textId="17A45DA0" w:rsidR="00AF45CF" w:rsidRPr="00442E46" w:rsidRDefault="00412711" w:rsidP="00ED72A6">
            <w:pPr>
              <w:rPr>
                <w:sz w:val="20"/>
                <w:szCs w:val="20"/>
              </w:rPr>
            </w:pPr>
            <w:r>
              <w:rPr>
                <w:sz w:val="20"/>
                <w:szCs w:val="20"/>
              </w:rPr>
              <w:t xml:space="preserve">The time interval of the data used to calculate </w:t>
            </w:r>
            <w:r w:rsidR="4DACE654" w:rsidRPr="00442E46">
              <w:rPr>
                <w:sz w:val="20"/>
                <w:szCs w:val="20"/>
              </w:rPr>
              <w:t>VAM</w:t>
            </w:r>
            <w:r w:rsidR="06F9D9BD" w:rsidRPr="00442E46">
              <w:rPr>
                <w:sz w:val="20"/>
                <w:szCs w:val="20"/>
              </w:rPr>
              <w:t xml:space="preserve"> is </w:t>
            </w:r>
            <w:r>
              <w:rPr>
                <w:sz w:val="20"/>
                <w:szCs w:val="20"/>
              </w:rPr>
              <w:t>not clear, and/or is data from less than one year</w:t>
            </w:r>
          </w:p>
        </w:tc>
        <w:tc>
          <w:tcPr>
            <w:tcW w:w="369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BD8BCB2" w14:textId="7C24B87F" w:rsidR="00AF45CF" w:rsidRPr="00442E46" w:rsidRDefault="00322F76" w:rsidP="00ED72A6">
            <w:pPr>
              <w:rPr>
                <w:sz w:val="20"/>
                <w:szCs w:val="20"/>
              </w:rPr>
            </w:pPr>
            <w:r>
              <w:rPr>
                <w:sz w:val="20"/>
                <w:szCs w:val="20"/>
              </w:rPr>
              <w:t>VAM is based on data from only one year</w:t>
            </w:r>
          </w:p>
        </w:tc>
        <w:tc>
          <w:tcPr>
            <w:tcW w:w="59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69F082A7" w14:textId="70EDA0E8" w:rsidR="00AF45CF" w:rsidRPr="00442E46" w:rsidRDefault="2FD9C289" w:rsidP="00ED72A6">
            <w:pPr>
              <w:rPr>
                <w:sz w:val="20"/>
                <w:szCs w:val="20"/>
              </w:rPr>
            </w:pPr>
            <w:r w:rsidRPr="00442E46">
              <w:rPr>
                <w:sz w:val="20"/>
                <w:szCs w:val="20"/>
              </w:rPr>
              <w:t>VAM calculation is based o</w:t>
            </w:r>
            <w:r w:rsidR="6DD394A8" w:rsidRPr="00442E46">
              <w:rPr>
                <w:sz w:val="20"/>
                <w:szCs w:val="20"/>
              </w:rPr>
              <w:t>n multi-year data.</w:t>
            </w:r>
          </w:p>
          <w:p w14:paraId="285B1B5A" w14:textId="77777777" w:rsidR="002B3B29" w:rsidRPr="00442E46" w:rsidRDefault="002B3B29" w:rsidP="00ED72A6">
            <w:pPr>
              <w:rPr>
                <w:sz w:val="20"/>
                <w:szCs w:val="20"/>
              </w:rPr>
            </w:pPr>
          </w:p>
          <w:p w14:paraId="64CBB0A2" w14:textId="1EB9ED6B" w:rsidR="002B3B29" w:rsidRPr="00442E46" w:rsidRDefault="002B3B29" w:rsidP="00ED72A6">
            <w:pPr>
              <w:rPr>
                <w:i/>
                <w:iCs/>
                <w:sz w:val="20"/>
                <w:szCs w:val="20"/>
              </w:rPr>
            </w:pPr>
          </w:p>
        </w:tc>
      </w:tr>
      <w:tr w:rsidR="00A61310" w14:paraId="2B3773F7"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1AA696B4" w14:textId="0EDB79AC" w:rsidR="00A61310" w:rsidRPr="00D62DB6" w:rsidRDefault="00A61310" w:rsidP="00D62DB6">
            <w:pPr>
              <w:rPr>
                <w:b/>
              </w:rPr>
            </w:pPr>
            <w:r w:rsidRPr="00D62DB6">
              <w:rPr>
                <w:b/>
              </w:rPr>
              <w:t xml:space="preserve">Calculation of a teacher’s student growth </w:t>
            </w:r>
            <w:r w:rsidR="009E679E" w:rsidRPr="00D62DB6">
              <w:rPr>
                <w:b/>
              </w:rPr>
              <w:t>rating</w:t>
            </w:r>
          </w:p>
          <w:p w14:paraId="03F03237" w14:textId="77777777" w:rsidR="00A61310" w:rsidRPr="00F21DE1" w:rsidRDefault="00A61310" w:rsidP="00D62DB6">
            <w:pPr>
              <w:rPr>
                <w:b/>
              </w:rPr>
            </w:pPr>
          </w:p>
          <w:p w14:paraId="7C9DC63E" w14:textId="77777777" w:rsidR="00A61310" w:rsidRPr="00A61310" w:rsidRDefault="00A61310" w:rsidP="00D62DB6">
            <w:pPr>
              <w:rPr>
                <w:b/>
              </w:rPr>
            </w:pP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4BCB39C6" w14:textId="30C30BA6" w:rsidR="00A61310" w:rsidRPr="00442E46" w:rsidRDefault="00A61310" w:rsidP="00A61310">
            <w:pPr>
              <w:rPr>
                <w:sz w:val="20"/>
                <w:szCs w:val="20"/>
              </w:rPr>
            </w:pPr>
            <w:r w:rsidRPr="00F21DE1">
              <w:rPr>
                <w:sz w:val="20"/>
                <w:szCs w:val="20"/>
              </w:rPr>
              <w:t>Student growth data based on VAM is not calculated at the individual teacher level</w:t>
            </w:r>
          </w:p>
        </w:tc>
        <w:tc>
          <w:tcPr>
            <w:tcW w:w="369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4E744782" w14:textId="45A2A477" w:rsidR="00A61310" w:rsidRPr="00442E46" w:rsidRDefault="00A61310" w:rsidP="00A61310">
            <w:pPr>
              <w:rPr>
                <w:sz w:val="20"/>
                <w:szCs w:val="20"/>
              </w:rPr>
            </w:pPr>
            <w:r w:rsidRPr="00F21DE1">
              <w:rPr>
                <w:sz w:val="20"/>
                <w:szCs w:val="20"/>
              </w:rPr>
              <w:t>Student growth data based on VAM is calculated at the level of individual teacher, but the process by which it is calculated is unclear or unknown.</w:t>
            </w:r>
          </w:p>
        </w:tc>
        <w:tc>
          <w:tcPr>
            <w:tcW w:w="59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5DE81340" w14:textId="0B8C35D0" w:rsidR="00A61310" w:rsidRPr="00442E46" w:rsidRDefault="00A61310" w:rsidP="00A61310">
            <w:pPr>
              <w:rPr>
                <w:rFonts w:ascii="Calibri" w:eastAsia="Calibri" w:hAnsi="Calibri" w:cs="Calibri"/>
                <w:sz w:val="20"/>
                <w:szCs w:val="20"/>
              </w:rPr>
            </w:pPr>
            <w:r w:rsidRPr="00ED72A6">
              <w:rPr>
                <w:sz w:val="20"/>
                <w:szCs w:val="20"/>
              </w:rPr>
              <w:t xml:space="preserve">Clear and published procedures exist for how student growth data </w:t>
            </w:r>
            <w:r>
              <w:rPr>
                <w:sz w:val="20"/>
                <w:szCs w:val="20"/>
              </w:rPr>
              <w:t xml:space="preserve">based on VAM </w:t>
            </w:r>
            <w:r w:rsidRPr="00ED72A6">
              <w:rPr>
                <w:sz w:val="20"/>
                <w:szCs w:val="20"/>
              </w:rPr>
              <w:t>is calculated</w:t>
            </w:r>
            <w:r>
              <w:rPr>
                <w:sz w:val="20"/>
                <w:szCs w:val="20"/>
              </w:rPr>
              <w:t xml:space="preserve"> for each individual student and for how this data is used to determine the teachers’ end of year student growth rating</w:t>
            </w:r>
            <w:r w:rsidRPr="00ED72A6">
              <w:rPr>
                <w:sz w:val="20"/>
                <w:szCs w:val="20"/>
              </w:rPr>
              <w:t xml:space="preserve"> for </w:t>
            </w:r>
            <w:r w:rsidRPr="002C357A">
              <w:rPr>
                <w:sz w:val="20"/>
                <w:szCs w:val="20"/>
              </w:rPr>
              <w:t xml:space="preserve">teachers in all </w:t>
            </w:r>
            <w:r>
              <w:rPr>
                <w:sz w:val="20"/>
                <w:szCs w:val="20"/>
              </w:rPr>
              <w:t xml:space="preserve">teachers in applicable </w:t>
            </w:r>
            <w:r w:rsidRPr="002C357A">
              <w:rPr>
                <w:sz w:val="20"/>
                <w:szCs w:val="20"/>
              </w:rPr>
              <w:t>eligible teaching assignments</w:t>
            </w:r>
            <w:r>
              <w:rPr>
                <w:sz w:val="20"/>
                <w:szCs w:val="20"/>
              </w:rPr>
              <w:t>.</w:t>
            </w:r>
            <w:r w:rsidRPr="002C357A">
              <w:rPr>
                <w:sz w:val="20"/>
                <w:szCs w:val="20"/>
              </w:rPr>
              <w:t xml:space="preserve"> </w:t>
            </w:r>
            <w:r>
              <w:rPr>
                <w:sz w:val="20"/>
                <w:szCs w:val="20"/>
              </w:rPr>
              <w:t>T</w:t>
            </w:r>
            <w:r w:rsidRPr="00ED72A6">
              <w:rPr>
                <w:sz w:val="20"/>
                <w:szCs w:val="20"/>
              </w:rPr>
              <w:t xml:space="preserve">he district shares individual teacher’s student growth </w:t>
            </w:r>
            <w:r>
              <w:rPr>
                <w:sz w:val="20"/>
                <w:szCs w:val="20"/>
              </w:rPr>
              <w:t>ratings</w:t>
            </w:r>
            <w:r w:rsidRPr="00ED72A6">
              <w:rPr>
                <w:sz w:val="20"/>
                <w:szCs w:val="20"/>
              </w:rPr>
              <w:t xml:space="preserve"> with teachers in a clearly communicated and timely manner</w:t>
            </w:r>
          </w:p>
        </w:tc>
      </w:tr>
      <w:tr w:rsidR="00AF45CF" w14:paraId="7A71713A"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53321A94" w14:textId="6A1267DB" w:rsidR="009E11A7" w:rsidRPr="00D62DB6" w:rsidRDefault="00CF1E16" w:rsidP="00D62DB6">
            <w:pPr>
              <w:rPr>
                <w:b/>
              </w:rPr>
            </w:pPr>
            <w:r w:rsidRPr="00D62DB6">
              <w:rPr>
                <w:b/>
              </w:rPr>
              <w:t>Collection and calculation of VAM data</w:t>
            </w:r>
          </w:p>
        </w:tc>
        <w:tc>
          <w:tcPr>
            <w:tcW w:w="270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4432848B" w14:textId="124574B1" w:rsidR="00C90D92" w:rsidRPr="00C90D92" w:rsidRDefault="4E37DF2E" w:rsidP="00C90D92">
            <w:pPr>
              <w:rPr>
                <w:sz w:val="20"/>
                <w:szCs w:val="20"/>
              </w:rPr>
            </w:pPr>
            <w:r w:rsidRPr="00442E46">
              <w:rPr>
                <w:sz w:val="20"/>
                <w:szCs w:val="20"/>
              </w:rPr>
              <w:t xml:space="preserve">District does not have clear procedures for calculating </w:t>
            </w:r>
            <w:r w:rsidR="00F21DE1">
              <w:rPr>
                <w:sz w:val="20"/>
                <w:szCs w:val="20"/>
              </w:rPr>
              <w:t xml:space="preserve">growth based on </w:t>
            </w:r>
            <w:r w:rsidRPr="00442E46">
              <w:rPr>
                <w:sz w:val="20"/>
                <w:szCs w:val="20"/>
              </w:rPr>
              <w:t xml:space="preserve">VAM </w:t>
            </w:r>
          </w:p>
        </w:tc>
        <w:tc>
          <w:tcPr>
            <w:tcW w:w="369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6113AE19" w14:textId="077D1AB4" w:rsidR="00AF45CF" w:rsidRPr="00442E46" w:rsidRDefault="38512AA5" w:rsidP="00ED72A6">
            <w:pPr>
              <w:rPr>
                <w:sz w:val="20"/>
                <w:szCs w:val="20"/>
              </w:rPr>
            </w:pPr>
            <w:r w:rsidRPr="00442E46">
              <w:rPr>
                <w:sz w:val="20"/>
                <w:szCs w:val="20"/>
              </w:rPr>
              <w:t>District has clear procedures for calculating VAM but does not use a 3</w:t>
            </w:r>
            <w:r w:rsidRPr="00442E46">
              <w:rPr>
                <w:sz w:val="20"/>
                <w:szCs w:val="20"/>
                <w:vertAlign w:val="superscript"/>
              </w:rPr>
              <w:t>rd</w:t>
            </w:r>
            <w:r w:rsidRPr="00442E46">
              <w:rPr>
                <w:sz w:val="20"/>
                <w:szCs w:val="20"/>
              </w:rPr>
              <w:t xml:space="preserve"> party vendor or does not use statistical modeling aligned to VAM models run by 3</w:t>
            </w:r>
            <w:r w:rsidRPr="00442E46">
              <w:rPr>
                <w:sz w:val="20"/>
                <w:szCs w:val="20"/>
                <w:vertAlign w:val="superscript"/>
              </w:rPr>
              <w:t>rd</w:t>
            </w:r>
            <w:r w:rsidRPr="00442E46">
              <w:rPr>
                <w:sz w:val="20"/>
                <w:szCs w:val="20"/>
              </w:rPr>
              <w:t xml:space="preserve"> party statisticians. </w:t>
            </w:r>
          </w:p>
        </w:tc>
        <w:tc>
          <w:tcPr>
            <w:tcW w:w="59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B0ADA9C" w14:textId="1DA3738F" w:rsidR="00AF45CF" w:rsidRPr="00C90D92" w:rsidRDefault="6C36113F" w:rsidP="00ED72A6">
            <w:pPr>
              <w:rPr>
                <w:rFonts w:ascii="Calibri" w:eastAsia="Calibri" w:hAnsi="Calibri" w:cs="Calibri"/>
                <w:sz w:val="20"/>
                <w:szCs w:val="20"/>
              </w:rPr>
            </w:pPr>
            <w:r w:rsidRPr="00442E46">
              <w:rPr>
                <w:rFonts w:ascii="Calibri" w:eastAsia="Calibri" w:hAnsi="Calibri" w:cs="Calibri"/>
                <w:sz w:val="20"/>
                <w:szCs w:val="20"/>
              </w:rPr>
              <w:t>District uses 3</w:t>
            </w:r>
            <w:r w:rsidRPr="00442E46">
              <w:rPr>
                <w:rFonts w:ascii="Calibri" w:eastAsia="Calibri" w:hAnsi="Calibri" w:cs="Calibri"/>
                <w:sz w:val="20"/>
                <w:szCs w:val="20"/>
                <w:vertAlign w:val="superscript"/>
              </w:rPr>
              <w:t>rd</w:t>
            </w:r>
            <w:r w:rsidRPr="00442E46">
              <w:rPr>
                <w:rFonts w:ascii="Calibri" w:eastAsia="Calibri" w:hAnsi="Calibri" w:cs="Calibri"/>
                <w:sz w:val="20"/>
                <w:szCs w:val="20"/>
              </w:rPr>
              <w:t xml:space="preserve"> party to run VAM calculations, or </w:t>
            </w:r>
            <w:r w:rsidR="00A61310">
              <w:rPr>
                <w:rFonts w:ascii="Calibri" w:eastAsia="Calibri" w:hAnsi="Calibri" w:cs="Calibri"/>
                <w:sz w:val="20"/>
                <w:szCs w:val="20"/>
              </w:rPr>
              <w:t>the</w:t>
            </w:r>
            <w:r w:rsidR="00A61310" w:rsidRPr="00442E46">
              <w:rPr>
                <w:rFonts w:ascii="Calibri" w:eastAsia="Calibri" w:hAnsi="Calibri" w:cs="Calibri"/>
                <w:sz w:val="20"/>
                <w:szCs w:val="20"/>
              </w:rPr>
              <w:t xml:space="preserve"> </w:t>
            </w:r>
            <w:r w:rsidRPr="00442E46">
              <w:rPr>
                <w:rFonts w:ascii="Calibri" w:eastAsia="Calibri" w:hAnsi="Calibri" w:cs="Calibri"/>
                <w:sz w:val="20"/>
                <w:szCs w:val="20"/>
              </w:rPr>
              <w:t>local statistical modeling used align</w:t>
            </w:r>
            <w:r w:rsidR="00F21DE1">
              <w:rPr>
                <w:rFonts w:ascii="Calibri" w:eastAsia="Calibri" w:hAnsi="Calibri" w:cs="Calibri"/>
                <w:sz w:val="20"/>
                <w:szCs w:val="20"/>
              </w:rPr>
              <w:t>s</w:t>
            </w:r>
            <w:r w:rsidRPr="00442E46">
              <w:rPr>
                <w:rFonts w:ascii="Calibri" w:eastAsia="Calibri" w:hAnsi="Calibri" w:cs="Calibri"/>
                <w:sz w:val="20"/>
                <w:szCs w:val="20"/>
              </w:rPr>
              <w:t xml:space="preserve"> to VAM models run by 3rd party statisticians.</w:t>
            </w:r>
          </w:p>
        </w:tc>
      </w:tr>
    </w:tbl>
    <w:p w14:paraId="6BFA25B8" w14:textId="77777777" w:rsidR="00415CFD" w:rsidRDefault="00415CFD" w:rsidP="00ED72A6">
      <w:pPr>
        <w:rPr>
          <w:sz w:val="24"/>
          <w:szCs w:val="24"/>
        </w:rPr>
      </w:pPr>
    </w:p>
    <w:p w14:paraId="00BDEE92" w14:textId="77777777" w:rsidR="00415CFD" w:rsidRDefault="00415CFD" w:rsidP="00ED72A6">
      <w:pPr>
        <w:rPr>
          <w:sz w:val="24"/>
          <w:szCs w:val="24"/>
        </w:rPr>
      </w:pPr>
    </w:p>
    <w:p w14:paraId="778426E0" w14:textId="5F79EEDC" w:rsidR="00415CFD" w:rsidRDefault="00415CFD" w:rsidP="00ED72A6">
      <w:pPr>
        <w:rPr>
          <w:sz w:val="24"/>
          <w:szCs w:val="24"/>
        </w:rPr>
      </w:pPr>
    </w:p>
    <w:p w14:paraId="63CD4D27" w14:textId="5615CC33" w:rsidR="00AC63FB" w:rsidRDefault="00AC63FB" w:rsidP="00ED72A6">
      <w:pPr>
        <w:rPr>
          <w:sz w:val="24"/>
          <w:szCs w:val="24"/>
        </w:rPr>
      </w:pPr>
    </w:p>
    <w:p w14:paraId="1D47A41C" w14:textId="77777777" w:rsidR="00AC63FB" w:rsidRDefault="00AC63FB" w:rsidP="00ED72A6">
      <w:pPr>
        <w:rPr>
          <w:sz w:val="24"/>
          <w:szCs w:val="24"/>
        </w:rPr>
      </w:pPr>
    </w:p>
    <w:p w14:paraId="0F02FAC3" w14:textId="56834CF1" w:rsidR="00E237BE" w:rsidRDefault="00795350" w:rsidP="00ED72A6">
      <w:pPr>
        <w:rPr>
          <w:sz w:val="24"/>
          <w:szCs w:val="24"/>
        </w:rPr>
      </w:pPr>
      <w:r w:rsidRPr="00690EED">
        <w:rPr>
          <w:sz w:val="24"/>
          <w:szCs w:val="24"/>
        </w:rPr>
        <w:t>Portfolios</w:t>
      </w:r>
    </w:p>
    <w:tbl>
      <w:tblPr>
        <w:tblStyle w:val="TableGrid"/>
        <w:tblW w:w="14665" w:type="dxa"/>
        <w:tblLook w:val="04A0" w:firstRow="1" w:lastRow="0" w:firstColumn="1" w:lastColumn="0" w:noHBand="0" w:noVBand="1"/>
      </w:tblPr>
      <w:tblGrid>
        <w:gridCol w:w="2245"/>
        <w:gridCol w:w="3150"/>
        <w:gridCol w:w="4230"/>
        <w:gridCol w:w="5040"/>
      </w:tblGrid>
      <w:tr w:rsidR="00BC318A" w:rsidRPr="00ED72A6" w14:paraId="1185C163"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0D6CB9" w:themeFill="text2"/>
          </w:tcPr>
          <w:p w14:paraId="324A81D3" w14:textId="77777777" w:rsidR="00BC318A" w:rsidRPr="00ED72A6" w:rsidRDefault="00BC318A" w:rsidP="00827886">
            <w:pPr>
              <w:rPr>
                <w:b/>
                <w:bCs/>
                <w:sz w:val="24"/>
                <w:szCs w:val="24"/>
              </w:rPr>
            </w:pPr>
            <w:r w:rsidRPr="001C5131">
              <w:rPr>
                <w:b/>
                <w:bCs/>
                <w:color w:val="FFFFFF" w:themeColor="background1"/>
                <w:sz w:val="24"/>
                <w:szCs w:val="24"/>
              </w:rPr>
              <w:t>Component</w:t>
            </w:r>
          </w:p>
        </w:tc>
        <w:tc>
          <w:tcPr>
            <w:tcW w:w="3150" w:type="dxa"/>
            <w:tcBorders>
              <w:top w:val="single" w:sz="4" w:space="0" w:color="FFFFFF"/>
              <w:left w:val="single" w:sz="4" w:space="0" w:color="FFFFFF"/>
              <w:bottom w:val="single" w:sz="4" w:space="0" w:color="FFFFFF"/>
              <w:right w:val="single" w:sz="4" w:space="0" w:color="FFFFFF"/>
            </w:tcBorders>
            <w:shd w:val="clear" w:color="auto" w:fill="F16038" w:themeFill="accent2"/>
          </w:tcPr>
          <w:p w14:paraId="6F633BCA" w14:textId="77777777" w:rsidR="00BC318A" w:rsidRPr="00ED72A6" w:rsidRDefault="00BC318A" w:rsidP="00610A74">
            <w:pPr>
              <w:jc w:val="center"/>
              <w:rPr>
                <w:b/>
                <w:bCs/>
                <w:sz w:val="24"/>
                <w:szCs w:val="24"/>
              </w:rPr>
            </w:pPr>
            <w:r w:rsidRPr="00663B4C">
              <w:rPr>
                <w:b/>
                <w:bCs/>
                <w:color w:val="242424" w:themeColor="text1"/>
                <w:sz w:val="24"/>
                <w:szCs w:val="24"/>
              </w:rPr>
              <w:t>Limited or no Readiness</w:t>
            </w:r>
          </w:p>
        </w:tc>
        <w:tc>
          <w:tcPr>
            <w:tcW w:w="4230" w:type="dxa"/>
            <w:tcBorders>
              <w:top w:val="single" w:sz="4" w:space="0" w:color="FFFFFF"/>
              <w:left w:val="single" w:sz="4" w:space="0" w:color="FFFFFF"/>
              <w:bottom w:val="single" w:sz="4" w:space="0" w:color="FFFFFF"/>
              <w:right w:val="single" w:sz="4" w:space="0" w:color="FFFFFF"/>
            </w:tcBorders>
            <w:shd w:val="clear" w:color="auto" w:fill="F8CC2A" w:themeFill="accent6"/>
          </w:tcPr>
          <w:p w14:paraId="4CF9A0CE" w14:textId="77777777" w:rsidR="00BC318A" w:rsidRPr="00ED72A6" w:rsidRDefault="00BC318A" w:rsidP="00827886">
            <w:pPr>
              <w:rPr>
                <w:b/>
                <w:bCs/>
                <w:sz w:val="24"/>
                <w:szCs w:val="24"/>
              </w:rPr>
            </w:pPr>
            <w:r w:rsidRPr="00ED72A6">
              <w:rPr>
                <w:b/>
                <w:bCs/>
                <w:sz w:val="24"/>
                <w:szCs w:val="24"/>
              </w:rPr>
              <w:t>Partial Readiness</w:t>
            </w:r>
          </w:p>
        </w:tc>
        <w:tc>
          <w:tcPr>
            <w:tcW w:w="5040" w:type="dxa"/>
            <w:tcBorders>
              <w:top w:val="single" w:sz="4" w:space="0" w:color="FFFFFF"/>
              <w:left w:val="single" w:sz="4" w:space="0" w:color="FFFFFF"/>
              <w:bottom w:val="single" w:sz="4" w:space="0" w:color="FFFFFF"/>
              <w:right w:val="single" w:sz="4" w:space="0" w:color="FFFFFF"/>
            </w:tcBorders>
            <w:shd w:val="clear" w:color="auto" w:fill="92C841" w:themeFill="accent3"/>
          </w:tcPr>
          <w:p w14:paraId="1F9AD262" w14:textId="77777777" w:rsidR="00BC318A" w:rsidRPr="00ED72A6" w:rsidRDefault="00BC318A" w:rsidP="00827886">
            <w:pPr>
              <w:rPr>
                <w:b/>
                <w:bCs/>
                <w:sz w:val="24"/>
                <w:szCs w:val="24"/>
              </w:rPr>
            </w:pPr>
            <w:r w:rsidRPr="00ED72A6">
              <w:rPr>
                <w:b/>
                <w:bCs/>
                <w:sz w:val="24"/>
                <w:szCs w:val="24"/>
              </w:rPr>
              <w:t xml:space="preserve">Full Readiness </w:t>
            </w:r>
          </w:p>
        </w:tc>
      </w:tr>
      <w:tr w:rsidR="00DC4220" w14:paraId="2F9150B8"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5AF64261" w14:textId="6DFFDEEE" w:rsidR="00DC4220" w:rsidRPr="00D62DB6" w:rsidRDefault="00DC4220" w:rsidP="00D62DB6">
            <w:pPr>
              <w:rPr>
                <w:b/>
                <w:bCs/>
              </w:rPr>
            </w:pPr>
            <w:r w:rsidRPr="00D62DB6">
              <w:rPr>
                <w:b/>
                <w:bCs/>
              </w:rPr>
              <w:t>Validity and reliability in portfolio assignment administration</w:t>
            </w:r>
          </w:p>
        </w:tc>
        <w:tc>
          <w:tcPr>
            <w:tcW w:w="315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345D5E6D" w14:textId="34AA8D11" w:rsidR="00DC4220" w:rsidRPr="00690EED" w:rsidRDefault="00DC4220" w:rsidP="00DC4220">
            <w:pPr>
              <w:rPr>
                <w:sz w:val="20"/>
                <w:szCs w:val="20"/>
              </w:rPr>
            </w:pPr>
            <w:r w:rsidRPr="00690EED">
              <w:rPr>
                <w:sz w:val="20"/>
                <w:szCs w:val="20"/>
              </w:rPr>
              <w:t xml:space="preserve">District has few or no procedures to guarantee </w:t>
            </w:r>
            <w:r w:rsidR="00DD34A7">
              <w:rPr>
                <w:sz w:val="20"/>
                <w:szCs w:val="20"/>
              </w:rPr>
              <w:t>valid administration and security of</w:t>
            </w:r>
            <w:r w:rsidRPr="00690EED">
              <w:rPr>
                <w:sz w:val="20"/>
                <w:szCs w:val="20"/>
              </w:rPr>
              <w:t xml:space="preserve"> portfolio assignments </w:t>
            </w:r>
          </w:p>
        </w:tc>
        <w:tc>
          <w:tcPr>
            <w:tcW w:w="42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7CFC579B" w14:textId="7E897B85" w:rsidR="00DC4220" w:rsidRPr="00690EED" w:rsidRDefault="00DC4220" w:rsidP="00DC4220">
            <w:pPr>
              <w:rPr>
                <w:sz w:val="20"/>
                <w:szCs w:val="20"/>
              </w:rPr>
            </w:pPr>
            <w:r w:rsidRPr="00690EED">
              <w:rPr>
                <w:sz w:val="20"/>
                <w:szCs w:val="20"/>
              </w:rPr>
              <w:t>Limited procedures are in place</w:t>
            </w:r>
            <w:r w:rsidR="00DD34A7" w:rsidRPr="00690EED">
              <w:rPr>
                <w:sz w:val="20"/>
                <w:szCs w:val="20"/>
              </w:rPr>
              <w:t xml:space="preserve"> to guarantee </w:t>
            </w:r>
            <w:r w:rsidR="00DD34A7">
              <w:rPr>
                <w:sz w:val="20"/>
                <w:szCs w:val="20"/>
              </w:rPr>
              <w:t>valid administration and security of</w:t>
            </w:r>
            <w:r w:rsidR="00DD34A7" w:rsidRPr="00690EED">
              <w:rPr>
                <w:sz w:val="20"/>
                <w:szCs w:val="20"/>
              </w:rPr>
              <w:t xml:space="preserve"> portfolio assignments</w:t>
            </w:r>
            <w:r w:rsidR="00681692">
              <w:rPr>
                <w:sz w:val="20"/>
                <w:szCs w:val="20"/>
              </w:rPr>
              <w:t>, and/or p</w:t>
            </w:r>
            <w:r w:rsidRPr="00690EED">
              <w:rPr>
                <w:sz w:val="20"/>
                <w:szCs w:val="20"/>
              </w:rPr>
              <w:t xml:space="preserve">rocedures exist at </w:t>
            </w:r>
            <w:r w:rsidR="00681692">
              <w:rPr>
                <w:sz w:val="20"/>
                <w:szCs w:val="20"/>
              </w:rPr>
              <w:t xml:space="preserve">some </w:t>
            </w:r>
            <w:r w:rsidRPr="00690EED">
              <w:rPr>
                <w:sz w:val="20"/>
                <w:szCs w:val="20"/>
              </w:rPr>
              <w:t>campu</w:t>
            </w:r>
            <w:r w:rsidR="00681692">
              <w:rPr>
                <w:sz w:val="20"/>
                <w:szCs w:val="20"/>
              </w:rPr>
              <w:t>ses</w:t>
            </w:r>
            <w:r w:rsidRPr="00690EED">
              <w:rPr>
                <w:sz w:val="20"/>
                <w:szCs w:val="20"/>
              </w:rPr>
              <w:t xml:space="preserve"> but not </w:t>
            </w:r>
            <w:r w:rsidR="006B53A9">
              <w:rPr>
                <w:sz w:val="20"/>
                <w:szCs w:val="20"/>
              </w:rPr>
              <w:t>districtwide</w:t>
            </w:r>
          </w:p>
        </w:tc>
        <w:tc>
          <w:tcPr>
            <w:tcW w:w="50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77B9D79B" w14:textId="276F6F04" w:rsidR="00CA1851" w:rsidRPr="00306A89" w:rsidRDefault="00DC4220" w:rsidP="00DC4220">
            <w:pPr>
              <w:rPr>
                <w:sz w:val="20"/>
                <w:szCs w:val="20"/>
              </w:rPr>
            </w:pPr>
            <w:r w:rsidRPr="00690EED">
              <w:rPr>
                <w:sz w:val="20"/>
                <w:szCs w:val="20"/>
              </w:rPr>
              <w:t xml:space="preserve">District has protocols in place to ensure the </w:t>
            </w:r>
            <w:r w:rsidR="006B53A9">
              <w:rPr>
                <w:sz w:val="20"/>
                <w:szCs w:val="20"/>
              </w:rPr>
              <w:t xml:space="preserve">valid administration and </w:t>
            </w:r>
            <w:r w:rsidRPr="00690EED">
              <w:rPr>
                <w:sz w:val="20"/>
                <w:szCs w:val="20"/>
              </w:rPr>
              <w:t>security of student portfolio assignment documents. Teachers and appraisers are trained in procedures for administration of portfolio assignments.</w:t>
            </w:r>
          </w:p>
        </w:tc>
      </w:tr>
      <w:tr w:rsidR="00160004" w14:paraId="12484C04"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31E309E3" w14:textId="22A7A5FD" w:rsidR="00160004" w:rsidRPr="006A0A00" w:rsidRDefault="00160004" w:rsidP="006A0A00">
            <w:pPr>
              <w:rPr>
                <w:b/>
                <w:bCs/>
              </w:rPr>
            </w:pPr>
            <w:r w:rsidRPr="006A0A00">
              <w:rPr>
                <w:b/>
                <w:bCs/>
              </w:rPr>
              <w:t>Security of portfolios</w:t>
            </w:r>
          </w:p>
        </w:tc>
        <w:tc>
          <w:tcPr>
            <w:tcW w:w="315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6DFF2925" w14:textId="1B5C39CD" w:rsidR="00160004" w:rsidRPr="006A0A00" w:rsidRDefault="00160004" w:rsidP="006A0A00">
            <w:pPr>
              <w:rPr>
                <w:sz w:val="20"/>
                <w:szCs w:val="20"/>
              </w:rPr>
            </w:pPr>
            <w:r w:rsidRPr="006A0A00">
              <w:rPr>
                <w:sz w:val="20"/>
                <w:szCs w:val="20"/>
              </w:rPr>
              <w:t>District has few or no standard procedures in place to ensure the security of portfolio documents </w:t>
            </w:r>
          </w:p>
        </w:tc>
        <w:tc>
          <w:tcPr>
            <w:tcW w:w="42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70DA6EEB" w14:textId="1D251EB9" w:rsidR="00160004" w:rsidRPr="006A0A00" w:rsidRDefault="00160004" w:rsidP="006A0A00">
            <w:pPr>
              <w:rPr>
                <w:sz w:val="20"/>
                <w:szCs w:val="20"/>
              </w:rPr>
            </w:pPr>
            <w:r w:rsidRPr="006A0A00">
              <w:rPr>
                <w:sz w:val="20"/>
                <w:szCs w:val="20"/>
              </w:rPr>
              <w:t>District has procedures in place to ensure the security of some but not all portfolio document</w:t>
            </w:r>
          </w:p>
        </w:tc>
        <w:tc>
          <w:tcPr>
            <w:tcW w:w="50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06DE1E97" w14:textId="61B7B4A6" w:rsidR="00160004" w:rsidRPr="006A0A00" w:rsidRDefault="00160004" w:rsidP="006A0A00">
            <w:pPr>
              <w:rPr>
                <w:sz w:val="20"/>
                <w:szCs w:val="20"/>
              </w:rPr>
            </w:pPr>
            <w:r w:rsidRPr="006A0A00">
              <w:rPr>
                <w:sz w:val="20"/>
                <w:szCs w:val="20"/>
              </w:rPr>
              <w:t>District has procedures in place to ensure the security of all portfolio documents and provides training to teachers regarding portfolio security.</w:t>
            </w:r>
          </w:p>
        </w:tc>
      </w:tr>
      <w:tr w:rsidR="001819B4" w14:paraId="3741D9A5"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6718BF4D" w14:textId="1A7505CB" w:rsidR="00E80F7C" w:rsidRPr="00D62DB6" w:rsidRDefault="00E80F7C" w:rsidP="00D62DB6">
            <w:pPr>
              <w:rPr>
                <w:b/>
                <w:bCs/>
              </w:rPr>
            </w:pPr>
            <w:r w:rsidRPr="00D62DB6">
              <w:rPr>
                <w:b/>
                <w:bCs/>
              </w:rPr>
              <w:t>Validity and reliability in creation of portfolio rubric</w:t>
            </w:r>
          </w:p>
        </w:tc>
        <w:tc>
          <w:tcPr>
            <w:tcW w:w="315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3B6FD127" w14:textId="0E9C355F" w:rsidR="001819B4" w:rsidRPr="00690EED" w:rsidRDefault="003E043F" w:rsidP="00DC4220">
            <w:pPr>
              <w:rPr>
                <w:sz w:val="20"/>
                <w:szCs w:val="20"/>
              </w:rPr>
            </w:pPr>
            <w:r w:rsidRPr="00690EED">
              <w:rPr>
                <w:sz w:val="20"/>
                <w:szCs w:val="20"/>
              </w:rPr>
              <w:t xml:space="preserve">Portfolio rubric not </w:t>
            </w:r>
            <w:r w:rsidR="00101828" w:rsidRPr="00690EED">
              <w:rPr>
                <w:sz w:val="20"/>
                <w:szCs w:val="20"/>
              </w:rPr>
              <w:t xml:space="preserve">required to </w:t>
            </w:r>
            <w:r w:rsidRPr="00690EED">
              <w:rPr>
                <w:sz w:val="20"/>
                <w:szCs w:val="20"/>
              </w:rPr>
              <w:t>include clear indicators</w:t>
            </w:r>
            <w:r w:rsidR="0049334A" w:rsidRPr="00690EED">
              <w:rPr>
                <w:sz w:val="20"/>
                <w:szCs w:val="20"/>
              </w:rPr>
              <w:t xml:space="preserve"> that describe what students need to know and be able to do across a variety of skill levels. And/or</w:t>
            </w:r>
            <w:r w:rsidR="00BF0FD6" w:rsidRPr="00690EED">
              <w:rPr>
                <w:sz w:val="20"/>
                <w:szCs w:val="20"/>
              </w:rPr>
              <w:t xml:space="preserve"> district does not </w:t>
            </w:r>
            <w:r w:rsidR="00880FB9" w:rsidRPr="00690EED">
              <w:rPr>
                <w:sz w:val="20"/>
                <w:szCs w:val="20"/>
              </w:rPr>
              <w:t>ensure that</w:t>
            </w:r>
            <w:r w:rsidR="0049334A" w:rsidRPr="00690EED">
              <w:rPr>
                <w:sz w:val="20"/>
                <w:szCs w:val="20"/>
              </w:rPr>
              <w:t xml:space="preserve"> rubric</w:t>
            </w:r>
            <w:r w:rsidR="00251B9F">
              <w:rPr>
                <w:sz w:val="20"/>
                <w:szCs w:val="20"/>
              </w:rPr>
              <w:t>s</w:t>
            </w:r>
            <w:r w:rsidR="0049334A" w:rsidRPr="00690EED">
              <w:rPr>
                <w:sz w:val="20"/>
                <w:szCs w:val="20"/>
              </w:rPr>
              <w:t xml:space="preserve"> align</w:t>
            </w:r>
            <w:r w:rsidR="00BF0FD6" w:rsidRPr="00690EED">
              <w:rPr>
                <w:sz w:val="20"/>
                <w:szCs w:val="20"/>
              </w:rPr>
              <w:t>s</w:t>
            </w:r>
            <w:r w:rsidR="0049334A" w:rsidRPr="00690EED">
              <w:rPr>
                <w:sz w:val="20"/>
                <w:szCs w:val="20"/>
              </w:rPr>
              <w:t xml:space="preserve"> to the standards of the course</w:t>
            </w:r>
          </w:p>
        </w:tc>
        <w:tc>
          <w:tcPr>
            <w:tcW w:w="42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4BB79963" w14:textId="7F601752" w:rsidR="001819B4" w:rsidRPr="00690EED" w:rsidRDefault="0049334A" w:rsidP="00DC4220">
            <w:pPr>
              <w:rPr>
                <w:sz w:val="20"/>
                <w:szCs w:val="20"/>
              </w:rPr>
            </w:pPr>
            <w:r w:rsidRPr="00690EED">
              <w:rPr>
                <w:sz w:val="20"/>
                <w:szCs w:val="20"/>
              </w:rPr>
              <w:t>Portf</w:t>
            </w:r>
            <w:r w:rsidR="00880FB9" w:rsidRPr="00690EED">
              <w:rPr>
                <w:sz w:val="20"/>
                <w:szCs w:val="20"/>
              </w:rPr>
              <w:t>olio rubric</w:t>
            </w:r>
            <w:r w:rsidR="00DF6A14" w:rsidRPr="00690EED">
              <w:rPr>
                <w:sz w:val="20"/>
                <w:szCs w:val="20"/>
              </w:rPr>
              <w:t xml:space="preserve"> </w:t>
            </w:r>
            <w:r w:rsidR="00101828" w:rsidRPr="00690EED">
              <w:rPr>
                <w:sz w:val="20"/>
                <w:szCs w:val="20"/>
              </w:rPr>
              <w:t xml:space="preserve">required to </w:t>
            </w:r>
            <w:r w:rsidR="00DF6A14" w:rsidRPr="00690EED">
              <w:rPr>
                <w:sz w:val="20"/>
                <w:szCs w:val="20"/>
              </w:rPr>
              <w:t>provide details of what students need to know and be able to do</w:t>
            </w:r>
            <w:r w:rsidR="00BA5977" w:rsidRPr="00690EED">
              <w:rPr>
                <w:sz w:val="20"/>
                <w:szCs w:val="20"/>
              </w:rPr>
              <w:t xml:space="preserve"> only for one or two skill levels, and/or district requires that portfolio rubrics align to content standards only for some courses or only some teaching assignments</w:t>
            </w:r>
          </w:p>
        </w:tc>
        <w:tc>
          <w:tcPr>
            <w:tcW w:w="50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38BBCBFB" w14:textId="77777777" w:rsidR="001819B4" w:rsidRPr="00690EED" w:rsidRDefault="00BA5977" w:rsidP="00DC4220">
            <w:pPr>
              <w:rPr>
                <w:sz w:val="20"/>
                <w:szCs w:val="20"/>
              </w:rPr>
            </w:pPr>
            <w:r w:rsidRPr="00690EED">
              <w:rPr>
                <w:sz w:val="20"/>
                <w:szCs w:val="20"/>
              </w:rPr>
              <w:t>Portfolio rubric required to align to content standards of the course and required to specify what students need to know and be able to do across at least four different skill levels</w:t>
            </w:r>
          </w:p>
          <w:p w14:paraId="5D844B19" w14:textId="1E52EC19" w:rsidR="001B3992" w:rsidRPr="00690EED" w:rsidRDefault="001B3992" w:rsidP="00DC4220">
            <w:pPr>
              <w:rPr>
                <w:sz w:val="20"/>
                <w:szCs w:val="20"/>
              </w:rPr>
            </w:pPr>
            <w:r w:rsidRPr="00690EED">
              <w:rPr>
                <w:sz w:val="20"/>
                <w:szCs w:val="20"/>
              </w:rPr>
              <w:t>Best practice is to include a portfolio rubric with detailed descriptors across five different skill levels</w:t>
            </w:r>
          </w:p>
        </w:tc>
      </w:tr>
      <w:tr w:rsidR="00DC4220" w14:paraId="1D10B42B"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5358A6E4" w14:textId="282B38FB" w:rsidR="00AB7309" w:rsidRPr="00D62DB6" w:rsidRDefault="00DC4220" w:rsidP="00D62DB6">
            <w:pPr>
              <w:rPr>
                <w:b/>
                <w:bCs/>
              </w:rPr>
            </w:pPr>
            <w:r w:rsidRPr="00D62DB6">
              <w:rPr>
                <w:b/>
                <w:bCs/>
              </w:rPr>
              <w:t>Validity and reliability in portfolio scoring practices</w:t>
            </w:r>
          </w:p>
        </w:tc>
        <w:tc>
          <w:tcPr>
            <w:tcW w:w="315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0B074DF3" w14:textId="3B690E9F" w:rsidR="00DC4220" w:rsidRPr="00690EED" w:rsidRDefault="00DC4220" w:rsidP="00DC4220">
            <w:pPr>
              <w:rPr>
                <w:sz w:val="24"/>
                <w:szCs w:val="24"/>
              </w:rPr>
            </w:pPr>
            <w:r w:rsidRPr="00690EED">
              <w:rPr>
                <w:sz w:val="20"/>
                <w:szCs w:val="20"/>
              </w:rPr>
              <w:t>District has few or no standard procedures in place for the reliable and valid scoring of portfolios. Teachers are expected to score their own portfolios with few or no calibration practices.</w:t>
            </w:r>
          </w:p>
        </w:tc>
        <w:tc>
          <w:tcPr>
            <w:tcW w:w="42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24623F1" w14:textId="694AB96B" w:rsidR="00DC4220" w:rsidRPr="00690EED" w:rsidRDefault="00DC4220" w:rsidP="00DC4220">
            <w:pPr>
              <w:rPr>
                <w:sz w:val="24"/>
                <w:szCs w:val="24"/>
              </w:rPr>
            </w:pPr>
            <w:r w:rsidRPr="00690EED">
              <w:rPr>
                <w:sz w:val="20"/>
                <w:szCs w:val="20"/>
              </w:rPr>
              <w:t xml:space="preserve">District has some procedures in place for the valid and reliable scoring of portfolios (see Full Readiness) but not enough to guarantee validity and reliability.  </w:t>
            </w:r>
          </w:p>
        </w:tc>
        <w:tc>
          <w:tcPr>
            <w:tcW w:w="50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7DDA506" w14:textId="2B9D2111" w:rsidR="00DC4220" w:rsidRPr="00BA3A44" w:rsidRDefault="00DC4220" w:rsidP="00DC4220">
            <w:pPr>
              <w:rPr>
                <w:sz w:val="20"/>
                <w:szCs w:val="20"/>
              </w:rPr>
            </w:pPr>
            <w:r w:rsidRPr="00690EED">
              <w:rPr>
                <w:sz w:val="20"/>
                <w:szCs w:val="20"/>
              </w:rPr>
              <w:t xml:space="preserve">District requires training annually on the scoring of rubrics. Scoring is completed by trained appraisers with calibration practices in place. District provides guidance and protocols for using rubrics to score portfolios. Both teachers and appraisers are trained in portfolio scoring procedures. </w:t>
            </w:r>
          </w:p>
        </w:tc>
      </w:tr>
      <w:tr w:rsidR="00DC4220" w14:paraId="4034A65A" w14:textId="77777777" w:rsidTr="001C5131">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2E29F4DB" w14:textId="10BE4E64" w:rsidR="00DC4220" w:rsidRPr="00D62DB6" w:rsidRDefault="00DC4220" w:rsidP="00D62DB6">
            <w:pPr>
              <w:rPr>
                <w:b/>
                <w:bCs/>
              </w:rPr>
            </w:pPr>
            <w:r w:rsidRPr="00D62DB6">
              <w:rPr>
                <w:b/>
                <w:bCs/>
              </w:rPr>
              <w:t>Calculation of a teacher’s student growth data</w:t>
            </w:r>
          </w:p>
          <w:p w14:paraId="1AA34642" w14:textId="77777777" w:rsidR="00DC4220" w:rsidRPr="00D7094E" w:rsidRDefault="00DC4220" w:rsidP="00D62DB6">
            <w:pPr>
              <w:rPr>
                <w:b/>
                <w:bCs/>
              </w:rPr>
            </w:pPr>
          </w:p>
          <w:p w14:paraId="58DC531E" w14:textId="3A5A26F9" w:rsidR="00383685" w:rsidRPr="00D7094E" w:rsidRDefault="00383685" w:rsidP="00D62DB6">
            <w:pPr>
              <w:rPr>
                <w:i/>
                <w:iCs/>
              </w:rPr>
            </w:pPr>
          </w:p>
          <w:p w14:paraId="3748E839" w14:textId="5DD48CBA" w:rsidR="00DC4220" w:rsidRPr="00D7094E" w:rsidRDefault="00DC4220" w:rsidP="00D62DB6">
            <w:pPr>
              <w:rPr>
                <w:sz w:val="24"/>
                <w:szCs w:val="24"/>
              </w:rPr>
            </w:pPr>
          </w:p>
        </w:tc>
        <w:tc>
          <w:tcPr>
            <w:tcW w:w="315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03019CAA" w14:textId="7EB1E8E8" w:rsidR="00DC4220" w:rsidRPr="00D7094E" w:rsidRDefault="00DC4220" w:rsidP="00DC4220">
            <w:pPr>
              <w:rPr>
                <w:sz w:val="24"/>
                <w:szCs w:val="24"/>
              </w:rPr>
            </w:pPr>
            <w:r w:rsidRPr="00D7094E">
              <w:rPr>
                <w:sz w:val="20"/>
                <w:szCs w:val="20"/>
              </w:rPr>
              <w:t xml:space="preserve">Student growth data based on portfolios is not calculated at the individual </w:t>
            </w:r>
            <w:r w:rsidR="00DF630D">
              <w:rPr>
                <w:sz w:val="20"/>
                <w:szCs w:val="20"/>
              </w:rPr>
              <w:t>student</w:t>
            </w:r>
            <w:r w:rsidRPr="00D7094E">
              <w:rPr>
                <w:sz w:val="20"/>
                <w:szCs w:val="20"/>
              </w:rPr>
              <w:t xml:space="preserve"> level</w:t>
            </w:r>
            <w:r w:rsidR="00F97D8E">
              <w:rPr>
                <w:sz w:val="20"/>
                <w:szCs w:val="20"/>
              </w:rPr>
              <w:t>,</w:t>
            </w:r>
            <w:r w:rsidR="00DF630D">
              <w:rPr>
                <w:sz w:val="20"/>
                <w:szCs w:val="20"/>
              </w:rPr>
              <w:t xml:space="preserve"> for each teacher in eligible teaching assignments</w:t>
            </w:r>
            <w:r w:rsidR="00F97D8E">
              <w:rPr>
                <w:sz w:val="20"/>
                <w:szCs w:val="20"/>
              </w:rPr>
              <w:t xml:space="preserve"> </w:t>
            </w:r>
          </w:p>
        </w:tc>
        <w:tc>
          <w:tcPr>
            <w:tcW w:w="42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6FE3E3F2" w14:textId="48F7EEB3" w:rsidR="00DC4220" w:rsidRPr="00D7094E" w:rsidRDefault="00DC4220" w:rsidP="00DC4220">
            <w:pPr>
              <w:rPr>
                <w:sz w:val="24"/>
                <w:szCs w:val="24"/>
              </w:rPr>
            </w:pPr>
            <w:r w:rsidRPr="00D7094E">
              <w:rPr>
                <w:sz w:val="20"/>
                <w:szCs w:val="20"/>
              </w:rPr>
              <w:t xml:space="preserve">Student growth data based on portfolios is calculated at the level of individual </w:t>
            </w:r>
            <w:r w:rsidR="00DF630D">
              <w:rPr>
                <w:sz w:val="20"/>
                <w:szCs w:val="20"/>
              </w:rPr>
              <w:t>students</w:t>
            </w:r>
            <w:r w:rsidRPr="00D7094E">
              <w:rPr>
                <w:sz w:val="20"/>
                <w:szCs w:val="20"/>
              </w:rPr>
              <w:t>, but the process by which it is calculated is unclear or unknown</w:t>
            </w:r>
            <w:r w:rsidR="00DF630D">
              <w:rPr>
                <w:sz w:val="20"/>
                <w:szCs w:val="20"/>
              </w:rPr>
              <w:t xml:space="preserve"> and/or</w:t>
            </w:r>
            <w:r w:rsidR="00E0328D">
              <w:rPr>
                <w:sz w:val="20"/>
                <w:szCs w:val="20"/>
              </w:rPr>
              <w:t xml:space="preserve"> it is not calculated for each teacher in eligible teaching assignments</w:t>
            </w:r>
          </w:p>
        </w:tc>
        <w:tc>
          <w:tcPr>
            <w:tcW w:w="504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14ACB1FB" w14:textId="7F065519" w:rsidR="00DC4220" w:rsidRPr="009C1846" w:rsidRDefault="00DC4220" w:rsidP="00DC4220">
            <w:pPr>
              <w:rPr>
                <w:sz w:val="20"/>
                <w:szCs w:val="20"/>
              </w:rPr>
            </w:pPr>
            <w:r w:rsidRPr="00D7094E">
              <w:rPr>
                <w:sz w:val="20"/>
                <w:szCs w:val="20"/>
              </w:rPr>
              <w:t xml:space="preserve">Clear and published procedures exist for how student growth data based on </w:t>
            </w:r>
            <w:r w:rsidR="006669F9">
              <w:rPr>
                <w:sz w:val="20"/>
                <w:szCs w:val="20"/>
              </w:rPr>
              <w:t xml:space="preserve">the </w:t>
            </w:r>
            <w:r w:rsidR="0027169E">
              <w:rPr>
                <w:sz w:val="20"/>
                <w:szCs w:val="20"/>
              </w:rPr>
              <w:t>portfolio</w:t>
            </w:r>
            <w:r w:rsidRPr="00D7094E">
              <w:rPr>
                <w:sz w:val="20"/>
                <w:szCs w:val="20"/>
              </w:rPr>
              <w:t xml:space="preserve"> is calculated </w:t>
            </w:r>
            <w:r w:rsidR="006669F9">
              <w:rPr>
                <w:sz w:val="20"/>
                <w:szCs w:val="20"/>
              </w:rPr>
              <w:t xml:space="preserve">for </w:t>
            </w:r>
            <w:r w:rsidRPr="00D7094E">
              <w:rPr>
                <w:sz w:val="20"/>
                <w:szCs w:val="20"/>
              </w:rPr>
              <w:t xml:space="preserve">each individual </w:t>
            </w:r>
            <w:r w:rsidR="00E0328D">
              <w:rPr>
                <w:sz w:val="20"/>
                <w:szCs w:val="20"/>
              </w:rPr>
              <w:t>student</w:t>
            </w:r>
            <w:r w:rsidRPr="00D7094E">
              <w:rPr>
                <w:sz w:val="20"/>
                <w:szCs w:val="20"/>
              </w:rPr>
              <w:t xml:space="preserve"> </w:t>
            </w:r>
            <w:r w:rsidR="006669F9">
              <w:rPr>
                <w:sz w:val="20"/>
                <w:szCs w:val="20"/>
              </w:rPr>
              <w:t>and how this data is used to determine the teachers’ end of year student growth rating</w:t>
            </w:r>
            <w:r w:rsidR="006669F9" w:rsidRPr="00ED72A6">
              <w:rPr>
                <w:sz w:val="20"/>
                <w:szCs w:val="20"/>
              </w:rPr>
              <w:t xml:space="preserve"> </w:t>
            </w:r>
            <w:r w:rsidRPr="00D7094E">
              <w:rPr>
                <w:sz w:val="20"/>
                <w:szCs w:val="20"/>
              </w:rPr>
              <w:t>for</w:t>
            </w:r>
            <w:r w:rsidR="007E1B73">
              <w:rPr>
                <w:sz w:val="20"/>
                <w:szCs w:val="20"/>
              </w:rPr>
              <w:t xml:space="preserve"> </w:t>
            </w:r>
            <w:r w:rsidR="00E0328D">
              <w:rPr>
                <w:sz w:val="20"/>
                <w:szCs w:val="20"/>
              </w:rPr>
              <w:t xml:space="preserve">teachers </w:t>
            </w:r>
            <w:r w:rsidR="006669F9" w:rsidRPr="002C357A">
              <w:rPr>
                <w:sz w:val="20"/>
                <w:szCs w:val="20"/>
              </w:rPr>
              <w:t>in al</w:t>
            </w:r>
            <w:r w:rsidR="0027169E">
              <w:rPr>
                <w:sz w:val="20"/>
                <w:szCs w:val="20"/>
              </w:rPr>
              <w:t xml:space="preserve">l applicable </w:t>
            </w:r>
            <w:r w:rsidR="006669F9" w:rsidRPr="002C357A">
              <w:rPr>
                <w:sz w:val="20"/>
                <w:szCs w:val="20"/>
              </w:rPr>
              <w:t>eligible</w:t>
            </w:r>
            <w:r w:rsidRPr="00D7094E">
              <w:rPr>
                <w:sz w:val="20"/>
                <w:szCs w:val="20"/>
              </w:rPr>
              <w:t xml:space="preserve"> teach</w:t>
            </w:r>
            <w:r w:rsidR="00E0328D">
              <w:rPr>
                <w:sz w:val="20"/>
                <w:szCs w:val="20"/>
              </w:rPr>
              <w:t xml:space="preserve">ing </w:t>
            </w:r>
            <w:r w:rsidR="006669F9" w:rsidRPr="002C357A">
              <w:rPr>
                <w:sz w:val="20"/>
                <w:szCs w:val="20"/>
              </w:rPr>
              <w:t>assignments</w:t>
            </w:r>
            <w:r w:rsidR="006669F9">
              <w:rPr>
                <w:sz w:val="20"/>
                <w:szCs w:val="20"/>
              </w:rPr>
              <w:t>.</w:t>
            </w:r>
            <w:r w:rsidR="006669F9" w:rsidRPr="002C357A">
              <w:rPr>
                <w:sz w:val="20"/>
                <w:szCs w:val="20"/>
              </w:rPr>
              <w:t xml:space="preserve"> </w:t>
            </w:r>
            <w:r w:rsidR="006669F9">
              <w:rPr>
                <w:sz w:val="20"/>
                <w:szCs w:val="20"/>
              </w:rPr>
              <w:t>T</w:t>
            </w:r>
            <w:r w:rsidR="006669F9" w:rsidRPr="00ED72A6">
              <w:rPr>
                <w:sz w:val="20"/>
                <w:szCs w:val="20"/>
              </w:rPr>
              <w:t>he</w:t>
            </w:r>
            <w:r w:rsidRPr="00D7094E">
              <w:rPr>
                <w:sz w:val="20"/>
                <w:szCs w:val="20"/>
              </w:rPr>
              <w:t xml:space="preserve"> district shares individual teacher’s student growth </w:t>
            </w:r>
            <w:r w:rsidR="006669F9">
              <w:rPr>
                <w:sz w:val="20"/>
                <w:szCs w:val="20"/>
              </w:rPr>
              <w:t>ratings</w:t>
            </w:r>
            <w:r w:rsidRPr="00D7094E">
              <w:rPr>
                <w:sz w:val="20"/>
                <w:szCs w:val="20"/>
              </w:rPr>
              <w:t xml:space="preserve"> with teachers in a clear</w:t>
            </w:r>
            <w:r w:rsidR="007E1B73">
              <w:rPr>
                <w:sz w:val="20"/>
                <w:szCs w:val="20"/>
              </w:rPr>
              <w:t xml:space="preserve"> </w:t>
            </w:r>
            <w:r w:rsidRPr="00D7094E">
              <w:rPr>
                <w:sz w:val="20"/>
                <w:szCs w:val="20"/>
              </w:rPr>
              <w:t>and timely manner</w:t>
            </w:r>
          </w:p>
        </w:tc>
      </w:tr>
    </w:tbl>
    <w:p w14:paraId="5552A224" w14:textId="1DF99D6D" w:rsidR="00795350" w:rsidRDefault="00795350" w:rsidP="00ED72A6">
      <w:pPr>
        <w:rPr>
          <w:sz w:val="24"/>
          <w:szCs w:val="24"/>
        </w:rPr>
      </w:pPr>
    </w:p>
    <w:p w14:paraId="0C192555" w14:textId="3BB9F357" w:rsidR="007D4BD9" w:rsidRDefault="007D4BD9" w:rsidP="00ED72A6">
      <w:pPr>
        <w:rPr>
          <w:sz w:val="24"/>
          <w:szCs w:val="24"/>
        </w:rPr>
      </w:pPr>
    </w:p>
    <w:p w14:paraId="67B912B1" w14:textId="420EF215" w:rsidR="007D4BD9" w:rsidRDefault="007D4BD9" w:rsidP="00ED72A6">
      <w:pPr>
        <w:rPr>
          <w:sz w:val="24"/>
          <w:szCs w:val="24"/>
        </w:rPr>
      </w:pPr>
    </w:p>
    <w:p w14:paraId="5269EB0A" w14:textId="606F8902" w:rsidR="007D4BD9" w:rsidRDefault="007D4BD9" w:rsidP="00ED72A6">
      <w:pPr>
        <w:rPr>
          <w:sz w:val="24"/>
          <w:szCs w:val="24"/>
        </w:rPr>
      </w:pPr>
    </w:p>
    <w:p w14:paraId="31E7EC77" w14:textId="77777777" w:rsidR="00AC63FB" w:rsidRDefault="00AC63FB" w:rsidP="00ED72A6">
      <w:pPr>
        <w:rPr>
          <w:sz w:val="24"/>
          <w:szCs w:val="24"/>
        </w:rPr>
      </w:pPr>
    </w:p>
    <w:p w14:paraId="06542075" w14:textId="1A6FFD8A" w:rsidR="00795350" w:rsidRDefault="00795350" w:rsidP="00ED72A6">
      <w:pPr>
        <w:rPr>
          <w:sz w:val="24"/>
          <w:szCs w:val="24"/>
        </w:rPr>
      </w:pPr>
      <w:r w:rsidRPr="00CD5E4E">
        <w:rPr>
          <w:sz w:val="24"/>
          <w:szCs w:val="24"/>
        </w:rPr>
        <w:t>Other Student Growth Measure</w:t>
      </w:r>
    </w:p>
    <w:tbl>
      <w:tblPr>
        <w:tblStyle w:val="TableGrid"/>
        <w:tblW w:w="14665" w:type="dxa"/>
        <w:tblLook w:val="04A0" w:firstRow="1" w:lastRow="0" w:firstColumn="1" w:lastColumn="0" w:noHBand="0" w:noVBand="1"/>
      </w:tblPr>
      <w:tblGrid>
        <w:gridCol w:w="2245"/>
        <w:gridCol w:w="2880"/>
        <w:gridCol w:w="3240"/>
        <w:gridCol w:w="6300"/>
      </w:tblGrid>
      <w:tr w:rsidR="0006527B" w:rsidRPr="00ED72A6" w14:paraId="3479458F" w14:textId="77777777" w:rsidTr="008D06CD">
        <w:tc>
          <w:tcPr>
            <w:tcW w:w="2245" w:type="dxa"/>
            <w:tcBorders>
              <w:top w:val="single" w:sz="4" w:space="0" w:color="FFFFFF"/>
              <w:left w:val="single" w:sz="4" w:space="0" w:color="FFFFFF"/>
              <w:bottom w:val="single" w:sz="4" w:space="0" w:color="FFFFFF"/>
              <w:right w:val="single" w:sz="4" w:space="0" w:color="FFFFFF"/>
            </w:tcBorders>
            <w:shd w:val="clear" w:color="auto" w:fill="0D6CB9" w:themeFill="text2"/>
          </w:tcPr>
          <w:p w14:paraId="64B1A3B7" w14:textId="77777777" w:rsidR="0006527B" w:rsidRPr="00ED72A6" w:rsidRDefault="0006527B" w:rsidP="00827886">
            <w:pPr>
              <w:rPr>
                <w:b/>
                <w:bCs/>
                <w:sz w:val="24"/>
                <w:szCs w:val="24"/>
              </w:rPr>
            </w:pPr>
            <w:r w:rsidRPr="001C5131">
              <w:rPr>
                <w:b/>
                <w:bCs/>
                <w:color w:val="FFFFFF" w:themeColor="background1"/>
                <w:sz w:val="24"/>
                <w:szCs w:val="24"/>
              </w:rPr>
              <w:t>Component</w:t>
            </w:r>
          </w:p>
        </w:tc>
        <w:tc>
          <w:tcPr>
            <w:tcW w:w="2880" w:type="dxa"/>
            <w:tcBorders>
              <w:top w:val="single" w:sz="4" w:space="0" w:color="FFFFFF"/>
              <w:left w:val="single" w:sz="4" w:space="0" w:color="FFFFFF"/>
              <w:bottom w:val="single" w:sz="4" w:space="0" w:color="FFFFFF"/>
              <w:right w:val="single" w:sz="4" w:space="0" w:color="FFFFFF"/>
            </w:tcBorders>
            <w:shd w:val="clear" w:color="auto" w:fill="F16038" w:themeFill="accent2"/>
          </w:tcPr>
          <w:p w14:paraId="0DE291C7" w14:textId="77777777" w:rsidR="0006527B" w:rsidRPr="00ED72A6" w:rsidRDefault="0006527B" w:rsidP="00827886">
            <w:pPr>
              <w:rPr>
                <w:b/>
                <w:bCs/>
                <w:sz w:val="24"/>
                <w:szCs w:val="24"/>
              </w:rPr>
            </w:pPr>
            <w:r w:rsidRPr="00663B4C">
              <w:rPr>
                <w:b/>
                <w:bCs/>
                <w:color w:val="242424" w:themeColor="text1"/>
                <w:sz w:val="24"/>
                <w:szCs w:val="24"/>
              </w:rPr>
              <w:t>Limited or no Readiness</w:t>
            </w:r>
          </w:p>
        </w:tc>
        <w:tc>
          <w:tcPr>
            <w:tcW w:w="3240" w:type="dxa"/>
            <w:tcBorders>
              <w:top w:val="single" w:sz="4" w:space="0" w:color="FFFFFF"/>
              <w:left w:val="single" w:sz="4" w:space="0" w:color="FFFFFF"/>
              <w:bottom w:val="single" w:sz="4" w:space="0" w:color="FFFFFF"/>
              <w:right w:val="single" w:sz="4" w:space="0" w:color="FFFFFF"/>
            </w:tcBorders>
            <w:shd w:val="clear" w:color="auto" w:fill="F8CC2A" w:themeFill="accent6"/>
          </w:tcPr>
          <w:p w14:paraId="47FF4128" w14:textId="77777777" w:rsidR="0006527B" w:rsidRPr="00ED72A6" w:rsidRDefault="0006527B" w:rsidP="00827886">
            <w:pPr>
              <w:rPr>
                <w:b/>
                <w:bCs/>
                <w:sz w:val="24"/>
                <w:szCs w:val="24"/>
              </w:rPr>
            </w:pPr>
            <w:r w:rsidRPr="00ED72A6">
              <w:rPr>
                <w:b/>
                <w:bCs/>
                <w:sz w:val="24"/>
                <w:szCs w:val="24"/>
              </w:rPr>
              <w:t>Partial Readiness</w:t>
            </w:r>
          </w:p>
        </w:tc>
        <w:tc>
          <w:tcPr>
            <w:tcW w:w="6300" w:type="dxa"/>
            <w:tcBorders>
              <w:top w:val="single" w:sz="4" w:space="0" w:color="FFFFFF"/>
              <w:left w:val="single" w:sz="4" w:space="0" w:color="FFFFFF"/>
              <w:bottom w:val="single" w:sz="4" w:space="0" w:color="FFFFFF"/>
              <w:right w:val="single" w:sz="4" w:space="0" w:color="FFFFFF"/>
            </w:tcBorders>
            <w:shd w:val="clear" w:color="auto" w:fill="92C841" w:themeFill="accent3"/>
          </w:tcPr>
          <w:p w14:paraId="26736869" w14:textId="77777777" w:rsidR="0006527B" w:rsidRPr="00ED72A6" w:rsidRDefault="0006527B" w:rsidP="00827886">
            <w:pPr>
              <w:rPr>
                <w:b/>
                <w:bCs/>
                <w:sz w:val="24"/>
                <w:szCs w:val="24"/>
              </w:rPr>
            </w:pPr>
            <w:r w:rsidRPr="00ED72A6">
              <w:rPr>
                <w:b/>
                <w:bCs/>
                <w:sz w:val="24"/>
                <w:szCs w:val="24"/>
              </w:rPr>
              <w:t xml:space="preserve">Full Readiness </w:t>
            </w:r>
          </w:p>
        </w:tc>
      </w:tr>
      <w:tr w:rsidR="0006527B" w14:paraId="1CDDB332" w14:textId="77777777" w:rsidTr="008D06CD">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4F894380" w14:textId="3A47B892" w:rsidR="00724996" w:rsidRPr="00D62DB6" w:rsidRDefault="00F11F18" w:rsidP="00D62DB6">
            <w:pPr>
              <w:rPr>
                <w:b/>
                <w:bCs/>
              </w:rPr>
            </w:pPr>
            <w:r w:rsidRPr="00D62DB6">
              <w:rPr>
                <w:b/>
                <w:bCs/>
              </w:rPr>
              <w:t>Requirements for creating/approving the growth measure</w:t>
            </w:r>
          </w:p>
        </w:tc>
        <w:tc>
          <w:tcPr>
            <w:tcW w:w="288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5FEF7225" w14:textId="5B9C0D22" w:rsidR="0006527B" w:rsidRPr="00CD5E4E" w:rsidRDefault="00F11F18" w:rsidP="00827886">
            <w:pPr>
              <w:rPr>
                <w:sz w:val="20"/>
                <w:szCs w:val="20"/>
              </w:rPr>
            </w:pPr>
            <w:r w:rsidRPr="00CD5E4E">
              <w:rPr>
                <w:sz w:val="20"/>
                <w:szCs w:val="20"/>
              </w:rPr>
              <w:t>Limited or no procedures in place to create or approve growth measure. Growth measure is not aligned to standards.</w:t>
            </w:r>
          </w:p>
        </w:tc>
        <w:tc>
          <w:tcPr>
            <w:tcW w:w="324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7FFADDD0" w14:textId="0DB51480" w:rsidR="0006527B" w:rsidRPr="00CD5E4E" w:rsidRDefault="00F11F18" w:rsidP="00827886">
            <w:pPr>
              <w:rPr>
                <w:sz w:val="24"/>
                <w:szCs w:val="24"/>
              </w:rPr>
            </w:pPr>
            <w:r w:rsidRPr="00CD5E4E">
              <w:rPr>
                <w:sz w:val="20"/>
                <w:szCs w:val="20"/>
              </w:rPr>
              <w:t>District ensures standards alignment for some for only some groups of eligible teachers</w:t>
            </w:r>
            <w:r w:rsidR="002A7451">
              <w:rPr>
                <w:sz w:val="20"/>
                <w:szCs w:val="20"/>
              </w:rPr>
              <w:t xml:space="preserve"> and/or uses </w:t>
            </w:r>
            <w:r w:rsidR="0076099E">
              <w:rPr>
                <w:sz w:val="20"/>
                <w:szCs w:val="20"/>
              </w:rPr>
              <w:t xml:space="preserve">student </w:t>
            </w:r>
            <w:r w:rsidR="002A7451">
              <w:rPr>
                <w:sz w:val="20"/>
                <w:szCs w:val="20"/>
              </w:rPr>
              <w:t xml:space="preserve">achievement measures </w:t>
            </w:r>
            <w:r w:rsidR="0076099E">
              <w:rPr>
                <w:sz w:val="20"/>
                <w:szCs w:val="20"/>
              </w:rPr>
              <w:t>instead of student growth measures</w:t>
            </w:r>
          </w:p>
        </w:tc>
        <w:tc>
          <w:tcPr>
            <w:tcW w:w="63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72CE80F7" w14:textId="40476AAF" w:rsidR="00F11F18" w:rsidRPr="00CD5E4E" w:rsidRDefault="00A04280" w:rsidP="00F11F18">
            <w:pPr>
              <w:rPr>
                <w:sz w:val="20"/>
                <w:szCs w:val="20"/>
              </w:rPr>
            </w:pPr>
            <w:r w:rsidRPr="00CD5E4E">
              <w:rPr>
                <w:sz w:val="20"/>
                <w:szCs w:val="20"/>
              </w:rPr>
              <w:t>District</w:t>
            </w:r>
            <w:r w:rsidR="00317BE6" w:rsidRPr="00CD5E4E">
              <w:rPr>
                <w:sz w:val="20"/>
                <w:szCs w:val="20"/>
              </w:rPr>
              <w:t xml:space="preserve"> uses</w:t>
            </w:r>
            <w:r w:rsidR="007B3BA6" w:rsidRPr="00CD5E4E">
              <w:rPr>
                <w:sz w:val="20"/>
                <w:szCs w:val="20"/>
              </w:rPr>
              <w:t xml:space="preserve"> a</w:t>
            </w:r>
            <w:r w:rsidR="007D2494" w:rsidRPr="00CD5E4E">
              <w:rPr>
                <w:sz w:val="20"/>
                <w:szCs w:val="20"/>
              </w:rPr>
              <w:t xml:space="preserve"> valid and reliable</w:t>
            </w:r>
            <w:r w:rsidR="007B3BA6" w:rsidRPr="00CD5E4E">
              <w:rPr>
                <w:sz w:val="20"/>
                <w:szCs w:val="20"/>
              </w:rPr>
              <w:t xml:space="preserve"> 3</w:t>
            </w:r>
            <w:r w:rsidR="007B3BA6" w:rsidRPr="00CD5E4E">
              <w:rPr>
                <w:sz w:val="20"/>
                <w:szCs w:val="20"/>
                <w:vertAlign w:val="superscript"/>
              </w:rPr>
              <w:t>rd</w:t>
            </w:r>
            <w:r w:rsidR="007B3BA6" w:rsidRPr="00CD5E4E">
              <w:rPr>
                <w:sz w:val="20"/>
                <w:szCs w:val="20"/>
              </w:rPr>
              <w:t xml:space="preserve"> party</w:t>
            </w:r>
            <w:r w:rsidR="00A624FC" w:rsidRPr="00CD5E4E">
              <w:rPr>
                <w:sz w:val="20"/>
                <w:szCs w:val="20"/>
              </w:rPr>
              <w:t xml:space="preserve"> student growth measure</w:t>
            </w:r>
            <w:r w:rsidR="00DF2150" w:rsidRPr="00CD5E4E">
              <w:rPr>
                <w:sz w:val="20"/>
                <w:szCs w:val="20"/>
              </w:rPr>
              <w:t>, such as</w:t>
            </w:r>
            <w:r w:rsidR="00D2364B" w:rsidRPr="00CD5E4E">
              <w:rPr>
                <w:sz w:val="20"/>
                <w:szCs w:val="20"/>
              </w:rPr>
              <w:t xml:space="preserve"> NWEA MAP growth, or STAAR Progress Measure, o</w:t>
            </w:r>
            <w:r w:rsidR="00213E25" w:rsidRPr="00CD5E4E">
              <w:rPr>
                <w:sz w:val="20"/>
                <w:szCs w:val="20"/>
              </w:rPr>
              <w:t>r</w:t>
            </w:r>
            <w:r w:rsidRPr="00CD5E4E">
              <w:rPr>
                <w:sz w:val="20"/>
                <w:szCs w:val="20"/>
              </w:rPr>
              <w:t xml:space="preserve"> d</w:t>
            </w:r>
            <w:r w:rsidR="00F11F18" w:rsidRPr="00CD5E4E">
              <w:rPr>
                <w:sz w:val="20"/>
                <w:szCs w:val="20"/>
              </w:rPr>
              <w:t>istrict has rigorous protocols in place to e</w:t>
            </w:r>
            <w:r w:rsidRPr="00CD5E4E">
              <w:rPr>
                <w:sz w:val="20"/>
                <w:szCs w:val="20"/>
              </w:rPr>
              <w:t>n</w:t>
            </w:r>
            <w:r w:rsidR="00F11F18" w:rsidRPr="00CD5E4E">
              <w:rPr>
                <w:sz w:val="20"/>
                <w:szCs w:val="20"/>
              </w:rPr>
              <w:t>sure the validity and reliability</w:t>
            </w:r>
            <w:r w:rsidR="00B9731A" w:rsidRPr="00CD5E4E">
              <w:rPr>
                <w:sz w:val="20"/>
                <w:szCs w:val="20"/>
              </w:rPr>
              <w:t xml:space="preserve"> of</w:t>
            </w:r>
            <w:r w:rsidR="00F11F18" w:rsidRPr="00CD5E4E">
              <w:rPr>
                <w:sz w:val="20"/>
                <w:szCs w:val="20"/>
              </w:rPr>
              <w:t xml:space="preserve"> district</w:t>
            </w:r>
            <w:r w:rsidR="00BC23D4" w:rsidRPr="00CD5E4E">
              <w:rPr>
                <w:sz w:val="20"/>
                <w:szCs w:val="20"/>
              </w:rPr>
              <w:t>-</w:t>
            </w:r>
            <w:r w:rsidR="00F11F18" w:rsidRPr="00CD5E4E">
              <w:rPr>
                <w:sz w:val="20"/>
                <w:szCs w:val="20"/>
              </w:rPr>
              <w:t xml:space="preserve">created </w:t>
            </w:r>
            <w:r w:rsidR="00DD1FC7" w:rsidRPr="00CD5E4E">
              <w:rPr>
                <w:sz w:val="20"/>
                <w:szCs w:val="20"/>
              </w:rPr>
              <w:t>student growth measures</w:t>
            </w:r>
            <w:r w:rsidR="007D539E" w:rsidRPr="00CD5E4E">
              <w:rPr>
                <w:sz w:val="20"/>
                <w:szCs w:val="20"/>
              </w:rPr>
              <w:t xml:space="preserve"> </w:t>
            </w:r>
            <w:r w:rsidR="00B9731A" w:rsidRPr="00CD5E4E">
              <w:rPr>
                <w:sz w:val="20"/>
                <w:szCs w:val="20"/>
              </w:rPr>
              <w:t>that</w:t>
            </w:r>
            <w:r w:rsidR="00DD1FC7" w:rsidRPr="00CD5E4E">
              <w:rPr>
                <w:sz w:val="20"/>
                <w:szCs w:val="20"/>
              </w:rPr>
              <w:t xml:space="preserve"> </w:t>
            </w:r>
            <w:r w:rsidR="00F11F18" w:rsidRPr="00CD5E4E">
              <w:rPr>
                <w:sz w:val="20"/>
                <w:szCs w:val="20"/>
              </w:rPr>
              <w:t xml:space="preserve">align to </w:t>
            </w:r>
            <w:r w:rsidR="00851BF4" w:rsidRPr="00CD5E4E">
              <w:rPr>
                <w:sz w:val="20"/>
                <w:szCs w:val="20"/>
              </w:rPr>
              <w:t>content standards</w:t>
            </w:r>
            <w:r w:rsidR="00E338CB" w:rsidRPr="00CD5E4E">
              <w:rPr>
                <w:sz w:val="20"/>
                <w:szCs w:val="20"/>
              </w:rPr>
              <w:t xml:space="preserve"> for each course</w:t>
            </w:r>
            <w:r w:rsidR="00F11F18" w:rsidRPr="00CD5E4E">
              <w:rPr>
                <w:sz w:val="20"/>
                <w:szCs w:val="20"/>
              </w:rPr>
              <w:t xml:space="preserve"> </w:t>
            </w:r>
          </w:p>
          <w:p w14:paraId="561C75BD" w14:textId="22D6F018" w:rsidR="005E1CF5" w:rsidRPr="00CD5E4E" w:rsidRDefault="005E1CF5" w:rsidP="00827886">
            <w:pPr>
              <w:rPr>
                <w:sz w:val="24"/>
                <w:szCs w:val="24"/>
              </w:rPr>
            </w:pPr>
            <w:r w:rsidRPr="00CD5E4E">
              <w:rPr>
                <w:sz w:val="20"/>
                <w:szCs w:val="20"/>
              </w:rPr>
              <w:t xml:space="preserve">Best Practice: If using STAAR Progress Measure as the student growth measure, </w:t>
            </w:r>
            <w:r w:rsidR="003207BE" w:rsidRPr="00CD5E4E">
              <w:rPr>
                <w:sz w:val="20"/>
                <w:szCs w:val="20"/>
              </w:rPr>
              <w:t>using</w:t>
            </w:r>
            <w:r w:rsidRPr="00CD5E4E">
              <w:rPr>
                <w:sz w:val="20"/>
                <w:szCs w:val="20"/>
              </w:rPr>
              <w:t xml:space="preserve"> at least one of the other four approved </w:t>
            </w:r>
            <w:r w:rsidR="001A65CC">
              <w:rPr>
                <w:sz w:val="20"/>
                <w:szCs w:val="20"/>
              </w:rPr>
              <w:t>student growth measure</w:t>
            </w:r>
            <w:r w:rsidRPr="00CD5E4E">
              <w:rPr>
                <w:sz w:val="20"/>
                <w:szCs w:val="20"/>
              </w:rPr>
              <w:t>s in addition</w:t>
            </w:r>
            <w:r w:rsidR="00477509" w:rsidRPr="00CD5E4E">
              <w:rPr>
                <w:sz w:val="20"/>
                <w:szCs w:val="20"/>
              </w:rPr>
              <w:t xml:space="preserve"> is recommended</w:t>
            </w:r>
            <w:r w:rsidRPr="00CD5E4E">
              <w:rPr>
                <w:i/>
                <w:iCs/>
                <w:sz w:val="20"/>
                <w:szCs w:val="20"/>
              </w:rPr>
              <w:t>.</w:t>
            </w:r>
          </w:p>
        </w:tc>
      </w:tr>
      <w:tr w:rsidR="00160004" w14:paraId="55165F79" w14:textId="77777777" w:rsidTr="008D06CD">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43CBCB0A" w14:textId="76620D30" w:rsidR="00160004" w:rsidRPr="00C34F64" w:rsidRDefault="00160004" w:rsidP="00C34F64">
            <w:pPr>
              <w:rPr>
                <w:b/>
                <w:bCs/>
              </w:rPr>
            </w:pPr>
            <w:r w:rsidRPr="00C34F64">
              <w:rPr>
                <w:b/>
                <w:bCs/>
              </w:rPr>
              <w:t>Security of the growth measure </w:t>
            </w:r>
          </w:p>
        </w:tc>
        <w:tc>
          <w:tcPr>
            <w:tcW w:w="288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7C391EFD" w14:textId="5509B1DC" w:rsidR="00160004" w:rsidRPr="00C34F64" w:rsidRDefault="00160004" w:rsidP="00C34F64">
            <w:pPr>
              <w:rPr>
                <w:sz w:val="20"/>
                <w:szCs w:val="20"/>
              </w:rPr>
            </w:pPr>
            <w:r w:rsidRPr="00C34F64">
              <w:rPr>
                <w:sz w:val="20"/>
                <w:szCs w:val="20"/>
              </w:rPr>
              <w:t>District has few/no procedures in place to ensure the security of the student growth measure</w:t>
            </w:r>
          </w:p>
        </w:tc>
        <w:tc>
          <w:tcPr>
            <w:tcW w:w="324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666C061" w14:textId="353E9582" w:rsidR="00160004" w:rsidRPr="00C34F64" w:rsidRDefault="00160004" w:rsidP="00C34F64">
            <w:pPr>
              <w:rPr>
                <w:sz w:val="20"/>
                <w:szCs w:val="20"/>
              </w:rPr>
            </w:pPr>
            <w:r w:rsidRPr="00C34F64">
              <w:rPr>
                <w:sz w:val="20"/>
                <w:szCs w:val="20"/>
              </w:rPr>
              <w:t>District has procedures in place to ensure the security of some but not all student growth measures use</w:t>
            </w:r>
          </w:p>
        </w:tc>
        <w:tc>
          <w:tcPr>
            <w:tcW w:w="63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1EEF1571" w14:textId="68D7F40E" w:rsidR="00160004" w:rsidRPr="00C34F64" w:rsidRDefault="00160004" w:rsidP="00C34F64">
            <w:pPr>
              <w:rPr>
                <w:sz w:val="20"/>
                <w:szCs w:val="20"/>
              </w:rPr>
            </w:pPr>
            <w:r w:rsidRPr="00C34F64">
              <w:rPr>
                <w:sz w:val="20"/>
                <w:szCs w:val="20"/>
              </w:rPr>
              <w:t>District has procedures in place to ensure the security of all student growth measures used and provides training to teachers regarding security.  </w:t>
            </w:r>
          </w:p>
        </w:tc>
      </w:tr>
      <w:tr w:rsidR="0006527B" w14:paraId="4F835890" w14:textId="77777777" w:rsidTr="008D06CD">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00304F59" w14:textId="7B61A483" w:rsidR="00724996" w:rsidRPr="00D62DB6" w:rsidRDefault="00DD1FC7" w:rsidP="00D62DB6">
            <w:pPr>
              <w:rPr>
                <w:b/>
                <w:bCs/>
              </w:rPr>
            </w:pPr>
            <w:r w:rsidRPr="00D62DB6">
              <w:rPr>
                <w:b/>
                <w:bCs/>
              </w:rPr>
              <w:t>Procedures to ensure valid administration and scoring of the student growth measure</w:t>
            </w:r>
          </w:p>
        </w:tc>
        <w:tc>
          <w:tcPr>
            <w:tcW w:w="288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5860B610" w14:textId="0958A8B3" w:rsidR="0006527B" w:rsidRPr="00CD5E4E" w:rsidRDefault="00DD1FC7" w:rsidP="00827886">
            <w:pPr>
              <w:rPr>
                <w:sz w:val="20"/>
                <w:szCs w:val="20"/>
              </w:rPr>
            </w:pPr>
            <w:r w:rsidRPr="00CD5E4E">
              <w:rPr>
                <w:sz w:val="20"/>
                <w:szCs w:val="20"/>
              </w:rPr>
              <w:t>District has few or no standard procedures in place for the reliable and valid administration</w:t>
            </w:r>
            <w:r w:rsidR="17D7B886" w:rsidRPr="00CD5E4E">
              <w:rPr>
                <w:sz w:val="20"/>
                <w:szCs w:val="20"/>
              </w:rPr>
              <w:t xml:space="preserve"> and/or scoring</w:t>
            </w:r>
            <w:r w:rsidRPr="00CD5E4E">
              <w:rPr>
                <w:sz w:val="20"/>
                <w:szCs w:val="20"/>
              </w:rPr>
              <w:t xml:space="preserve"> of the student growth measure. </w:t>
            </w:r>
          </w:p>
        </w:tc>
        <w:tc>
          <w:tcPr>
            <w:tcW w:w="324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1356E84" w14:textId="0BB16F73" w:rsidR="0006527B" w:rsidRPr="00CD5E4E" w:rsidRDefault="00DD1FC7" w:rsidP="00827886">
            <w:pPr>
              <w:rPr>
                <w:sz w:val="24"/>
                <w:szCs w:val="24"/>
              </w:rPr>
            </w:pPr>
            <w:r w:rsidRPr="00CD5E4E">
              <w:rPr>
                <w:sz w:val="20"/>
                <w:szCs w:val="20"/>
              </w:rPr>
              <w:t xml:space="preserve">District has procedures in place for the valid and reliable administration and scoring of some </w:t>
            </w:r>
            <w:r w:rsidR="00392C25" w:rsidRPr="00CD5E4E">
              <w:rPr>
                <w:sz w:val="20"/>
                <w:szCs w:val="20"/>
              </w:rPr>
              <w:t>student growth measures</w:t>
            </w:r>
            <w:r w:rsidRPr="00CD5E4E">
              <w:rPr>
                <w:sz w:val="20"/>
                <w:szCs w:val="20"/>
              </w:rPr>
              <w:t xml:space="preserve"> for some eligible teaching assignments, but not all. District provides minimal guidance on the scoring of district-created student growth measures</w:t>
            </w:r>
          </w:p>
        </w:tc>
        <w:tc>
          <w:tcPr>
            <w:tcW w:w="63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9DD72A1" w14:textId="1292E463" w:rsidR="0006527B" w:rsidRPr="009C1846" w:rsidRDefault="306812AE" w:rsidP="00827886">
            <w:pPr>
              <w:rPr>
                <w:sz w:val="20"/>
                <w:szCs w:val="20"/>
              </w:rPr>
            </w:pPr>
            <w:r w:rsidRPr="00CD5E4E">
              <w:rPr>
                <w:sz w:val="20"/>
                <w:szCs w:val="20"/>
              </w:rPr>
              <w:t>District requires training annually on the administration of all student growth measures used. District has protocols in place to ensure the security of student growth measure documents. District provides guidance, protocols, and rubrics for the administration and scoring of each district-created student growth measure used. District ensures that all student growth measures used are aligned to the standards for the course</w:t>
            </w:r>
          </w:p>
        </w:tc>
      </w:tr>
      <w:tr w:rsidR="0006527B" w14:paraId="160E7E76" w14:textId="77777777" w:rsidTr="008D06CD">
        <w:tc>
          <w:tcPr>
            <w:tcW w:w="224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410CCCAD" w14:textId="3C54210A" w:rsidR="00DD1FC7" w:rsidRPr="00D62DB6" w:rsidRDefault="00DD1FC7" w:rsidP="00D62DB6">
            <w:pPr>
              <w:rPr>
                <w:b/>
                <w:bCs/>
              </w:rPr>
            </w:pPr>
            <w:r w:rsidRPr="00D62DB6">
              <w:rPr>
                <w:b/>
                <w:bCs/>
              </w:rPr>
              <w:t>Calculation of a teacher’s student growth data</w:t>
            </w:r>
          </w:p>
          <w:p w14:paraId="2314EA68" w14:textId="77777777" w:rsidR="00DD1FC7" w:rsidRPr="00D62DB6" w:rsidRDefault="00DD1FC7" w:rsidP="00D62DB6">
            <w:pPr>
              <w:rPr>
                <w:b/>
                <w:bCs/>
              </w:rPr>
            </w:pPr>
          </w:p>
          <w:p w14:paraId="7CE9707D" w14:textId="6CCB2ECC" w:rsidR="0006527B" w:rsidRPr="00D62DB6" w:rsidRDefault="0006527B" w:rsidP="00D62DB6"/>
        </w:tc>
        <w:tc>
          <w:tcPr>
            <w:tcW w:w="288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228D65FF" w14:textId="5D720A03" w:rsidR="0006527B" w:rsidRPr="00CD5E4E" w:rsidRDefault="00DD1FC7" w:rsidP="00827886">
            <w:pPr>
              <w:rPr>
                <w:sz w:val="20"/>
                <w:szCs w:val="20"/>
              </w:rPr>
            </w:pPr>
            <w:r w:rsidRPr="00CD5E4E">
              <w:rPr>
                <w:sz w:val="20"/>
                <w:szCs w:val="20"/>
              </w:rPr>
              <w:t xml:space="preserve">Student growth data </w:t>
            </w:r>
            <w:r w:rsidR="4BB77714" w:rsidRPr="00CD5E4E">
              <w:rPr>
                <w:sz w:val="20"/>
                <w:szCs w:val="20"/>
              </w:rPr>
              <w:t>e</w:t>
            </w:r>
            <w:r w:rsidRPr="00CD5E4E">
              <w:rPr>
                <w:sz w:val="20"/>
                <w:szCs w:val="20"/>
              </w:rPr>
              <w:t xml:space="preserve"> is not calculated at the individual teacher level</w:t>
            </w:r>
          </w:p>
        </w:tc>
        <w:tc>
          <w:tcPr>
            <w:tcW w:w="324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258EA169" w14:textId="2666EBB1" w:rsidR="0006527B" w:rsidRPr="00CD5E4E" w:rsidRDefault="00DD1FC7" w:rsidP="00827886">
            <w:pPr>
              <w:rPr>
                <w:sz w:val="20"/>
                <w:szCs w:val="20"/>
              </w:rPr>
            </w:pPr>
            <w:r w:rsidRPr="00CD5E4E">
              <w:rPr>
                <w:sz w:val="20"/>
                <w:szCs w:val="20"/>
              </w:rPr>
              <w:t>Student growth data</w:t>
            </w:r>
            <w:r w:rsidR="3C5443A1" w:rsidRPr="00CD5E4E">
              <w:rPr>
                <w:sz w:val="20"/>
                <w:szCs w:val="20"/>
              </w:rPr>
              <w:t xml:space="preserve"> </w:t>
            </w:r>
            <w:r w:rsidRPr="00CD5E4E">
              <w:rPr>
                <w:sz w:val="20"/>
                <w:szCs w:val="20"/>
              </w:rPr>
              <w:t xml:space="preserve">is calculated at the level of individual teacher, but the process by which it is calculated is unclear </w:t>
            </w:r>
            <w:r w:rsidR="50A53866" w:rsidRPr="00CD5E4E">
              <w:rPr>
                <w:sz w:val="20"/>
                <w:szCs w:val="20"/>
              </w:rPr>
              <w:t xml:space="preserve">or </w:t>
            </w:r>
            <w:r w:rsidRPr="00CD5E4E">
              <w:rPr>
                <w:sz w:val="20"/>
                <w:szCs w:val="20"/>
              </w:rPr>
              <w:t>unknown</w:t>
            </w:r>
            <w:r w:rsidR="790E9265" w:rsidRPr="00CD5E4E">
              <w:rPr>
                <w:sz w:val="20"/>
                <w:szCs w:val="20"/>
              </w:rPr>
              <w:t>.</w:t>
            </w:r>
          </w:p>
        </w:tc>
        <w:tc>
          <w:tcPr>
            <w:tcW w:w="63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6BD2EE57" w14:textId="687922E5" w:rsidR="0006527B" w:rsidRPr="009C1846" w:rsidRDefault="00DD1FC7" w:rsidP="00827886">
            <w:pPr>
              <w:rPr>
                <w:sz w:val="20"/>
                <w:szCs w:val="20"/>
              </w:rPr>
            </w:pPr>
            <w:r w:rsidRPr="00CD5E4E">
              <w:rPr>
                <w:sz w:val="20"/>
                <w:szCs w:val="20"/>
              </w:rPr>
              <w:t xml:space="preserve">Clear and published procedures exist for how student growth data based on </w:t>
            </w:r>
            <w:r w:rsidR="003C6EDC" w:rsidRPr="00CD5E4E">
              <w:rPr>
                <w:sz w:val="20"/>
                <w:szCs w:val="20"/>
              </w:rPr>
              <w:t>the student growth measure</w:t>
            </w:r>
            <w:r w:rsidRPr="00CD5E4E">
              <w:rPr>
                <w:sz w:val="20"/>
                <w:szCs w:val="20"/>
              </w:rPr>
              <w:t xml:space="preserve"> is calculated at the level of each individual teacher for all </w:t>
            </w:r>
            <w:r w:rsidR="0034047E">
              <w:rPr>
                <w:sz w:val="20"/>
                <w:szCs w:val="20"/>
              </w:rPr>
              <w:t xml:space="preserve">teacher in applicable </w:t>
            </w:r>
            <w:r w:rsidRPr="00CD5E4E">
              <w:rPr>
                <w:sz w:val="20"/>
                <w:szCs w:val="20"/>
              </w:rPr>
              <w:t xml:space="preserve">eligible teacher </w:t>
            </w:r>
            <w:r w:rsidR="0034047E">
              <w:rPr>
                <w:sz w:val="20"/>
                <w:szCs w:val="20"/>
              </w:rPr>
              <w:t>assignments</w:t>
            </w:r>
            <w:r w:rsidRPr="00CD5E4E">
              <w:rPr>
                <w:sz w:val="20"/>
                <w:szCs w:val="20"/>
              </w:rPr>
              <w:t xml:space="preserve"> and the district shares individual teacher’s student growth results with teachers in a clearly communicated and timely manner</w:t>
            </w:r>
          </w:p>
        </w:tc>
      </w:tr>
    </w:tbl>
    <w:p w14:paraId="2466D9BA" w14:textId="1AA9D86E" w:rsidR="009B2706" w:rsidRDefault="009B2706" w:rsidP="00ED72A6">
      <w:pPr>
        <w:rPr>
          <w:sz w:val="24"/>
          <w:szCs w:val="24"/>
        </w:rPr>
      </w:pPr>
    </w:p>
    <w:p w14:paraId="00E0ACE9" w14:textId="0F72EB0F" w:rsidR="00D62DB6" w:rsidRDefault="00D62DB6" w:rsidP="00ED72A6">
      <w:pPr>
        <w:rPr>
          <w:sz w:val="24"/>
          <w:szCs w:val="24"/>
        </w:rPr>
      </w:pPr>
    </w:p>
    <w:p w14:paraId="46B0476F" w14:textId="349F29B6" w:rsidR="00D62DB6" w:rsidRDefault="00D62DB6" w:rsidP="00ED72A6">
      <w:pPr>
        <w:rPr>
          <w:sz w:val="24"/>
          <w:szCs w:val="24"/>
        </w:rPr>
      </w:pPr>
    </w:p>
    <w:p w14:paraId="590FFD3D" w14:textId="296769CC" w:rsidR="007D4BD9" w:rsidRDefault="007D4BD9" w:rsidP="00ED72A6">
      <w:pPr>
        <w:rPr>
          <w:sz w:val="24"/>
          <w:szCs w:val="24"/>
        </w:rPr>
      </w:pPr>
    </w:p>
    <w:p w14:paraId="7F528568" w14:textId="1BD4DFDE" w:rsidR="00AC63FB" w:rsidRDefault="00AC63FB" w:rsidP="00ED72A6">
      <w:pPr>
        <w:rPr>
          <w:sz w:val="24"/>
          <w:szCs w:val="24"/>
        </w:rPr>
      </w:pPr>
    </w:p>
    <w:p w14:paraId="509D0F81" w14:textId="77777777" w:rsidR="00AC63FB" w:rsidRDefault="00AC63FB" w:rsidP="00ED72A6">
      <w:pPr>
        <w:rPr>
          <w:sz w:val="24"/>
          <w:szCs w:val="24"/>
        </w:rPr>
      </w:pPr>
    </w:p>
    <w:p w14:paraId="3487B780" w14:textId="55977780" w:rsidR="007D4BD9" w:rsidRDefault="007D4BD9" w:rsidP="00ED72A6">
      <w:pPr>
        <w:rPr>
          <w:sz w:val="24"/>
          <w:szCs w:val="24"/>
        </w:rPr>
      </w:pPr>
    </w:p>
    <w:p w14:paraId="2ED046B6" w14:textId="07358C76" w:rsidR="007D4BD9" w:rsidRDefault="007D4BD9" w:rsidP="00ED72A6">
      <w:pPr>
        <w:rPr>
          <w:sz w:val="24"/>
          <w:szCs w:val="24"/>
        </w:rPr>
      </w:pPr>
    </w:p>
    <w:p w14:paraId="2E9774EC" w14:textId="307D21E1" w:rsidR="00ED72A6" w:rsidRDefault="00ED72A6" w:rsidP="00D62DB6">
      <w:pPr>
        <w:spacing w:after="0"/>
        <w:rPr>
          <w:b/>
          <w:bCs/>
          <w:sz w:val="24"/>
          <w:szCs w:val="24"/>
        </w:rPr>
      </w:pPr>
      <w:r w:rsidRPr="00ED72A6">
        <w:rPr>
          <w:b/>
          <w:bCs/>
          <w:sz w:val="24"/>
          <w:szCs w:val="24"/>
        </w:rPr>
        <w:t>Part Two: Non-Statutory Requirements</w:t>
      </w:r>
    </w:p>
    <w:p w14:paraId="4C5C9B43" w14:textId="77777777" w:rsidR="00D62DB6" w:rsidRPr="00D62DB6" w:rsidRDefault="00D62DB6" w:rsidP="00D62DB6">
      <w:pPr>
        <w:spacing w:after="0"/>
        <w:rPr>
          <w:b/>
          <w:bCs/>
          <w:sz w:val="24"/>
          <w:szCs w:val="24"/>
        </w:rPr>
      </w:pPr>
      <w:r w:rsidRPr="00D62DB6">
        <w:rPr>
          <w:b/>
          <w:bCs/>
          <w:sz w:val="24"/>
          <w:szCs w:val="24"/>
        </w:rPr>
        <w:t>Full readiness required for all indicators of this component</w:t>
      </w:r>
    </w:p>
    <w:p w14:paraId="12A187A2" w14:textId="6EC5698B" w:rsidR="00ED72A6" w:rsidRPr="00ED72A6" w:rsidRDefault="00B254A3" w:rsidP="00D62DB6">
      <w:pPr>
        <w:spacing w:after="0"/>
        <w:rPr>
          <w:sz w:val="24"/>
          <w:szCs w:val="24"/>
        </w:rPr>
      </w:pPr>
      <w:r>
        <w:rPr>
          <w:sz w:val="24"/>
          <w:szCs w:val="24"/>
        </w:rPr>
        <w:t>System Development and Stakeholder Engagement</w:t>
      </w:r>
    </w:p>
    <w:tbl>
      <w:tblPr>
        <w:tblStyle w:val="TableGrid"/>
        <w:tblW w:w="14665" w:type="dxa"/>
        <w:tblLook w:val="04A0" w:firstRow="1" w:lastRow="0" w:firstColumn="1" w:lastColumn="0" w:noHBand="0" w:noVBand="1"/>
      </w:tblPr>
      <w:tblGrid>
        <w:gridCol w:w="2695"/>
        <w:gridCol w:w="3240"/>
        <w:gridCol w:w="3330"/>
        <w:gridCol w:w="5400"/>
      </w:tblGrid>
      <w:tr w:rsidR="00ED72A6" w:rsidRPr="00ED72A6" w14:paraId="438043EA" w14:textId="77777777" w:rsidTr="00342C78">
        <w:tc>
          <w:tcPr>
            <w:tcW w:w="2695" w:type="dxa"/>
            <w:tcBorders>
              <w:top w:val="single" w:sz="4" w:space="0" w:color="FFFFFF"/>
              <w:left w:val="single" w:sz="4" w:space="0" w:color="FFFFFF"/>
              <w:bottom w:val="single" w:sz="4" w:space="0" w:color="FFFFFF"/>
              <w:right w:val="single" w:sz="4" w:space="0" w:color="FFFFFF"/>
            </w:tcBorders>
            <w:shd w:val="clear" w:color="auto" w:fill="0D6CB9" w:themeFill="text2"/>
          </w:tcPr>
          <w:p w14:paraId="59DD0CF8" w14:textId="77777777" w:rsidR="00ED72A6" w:rsidRPr="00ED72A6" w:rsidRDefault="00ED72A6" w:rsidP="00ED72A6">
            <w:pPr>
              <w:rPr>
                <w:b/>
                <w:bCs/>
                <w:sz w:val="24"/>
                <w:szCs w:val="24"/>
              </w:rPr>
            </w:pPr>
            <w:bookmarkStart w:id="0" w:name="_Hlk31366949"/>
            <w:r w:rsidRPr="008D06CD">
              <w:rPr>
                <w:b/>
                <w:bCs/>
                <w:color w:val="FFFFFF" w:themeColor="background1"/>
                <w:sz w:val="24"/>
                <w:szCs w:val="24"/>
              </w:rPr>
              <w:t>Component</w:t>
            </w:r>
          </w:p>
        </w:tc>
        <w:tc>
          <w:tcPr>
            <w:tcW w:w="3240" w:type="dxa"/>
            <w:tcBorders>
              <w:top w:val="single" w:sz="4" w:space="0" w:color="FFFFFF"/>
              <w:left w:val="single" w:sz="4" w:space="0" w:color="FFFFFF"/>
              <w:bottom w:val="single" w:sz="4" w:space="0" w:color="FFFFFF"/>
              <w:right w:val="single" w:sz="4" w:space="0" w:color="FFFFFF"/>
            </w:tcBorders>
            <w:shd w:val="clear" w:color="auto" w:fill="F16038" w:themeFill="accent2"/>
          </w:tcPr>
          <w:p w14:paraId="10476C00" w14:textId="77777777" w:rsidR="00ED72A6" w:rsidRPr="00ED72A6" w:rsidRDefault="00ED72A6" w:rsidP="00ED72A6">
            <w:pPr>
              <w:rPr>
                <w:b/>
                <w:bCs/>
                <w:sz w:val="24"/>
                <w:szCs w:val="24"/>
              </w:rPr>
            </w:pPr>
            <w:r w:rsidRPr="00663B4C">
              <w:rPr>
                <w:b/>
                <w:bCs/>
                <w:color w:val="242424" w:themeColor="text1"/>
                <w:sz w:val="24"/>
                <w:szCs w:val="24"/>
              </w:rPr>
              <w:t>Limited or no Readiness</w:t>
            </w:r>
          </w:p>
        </w:tc>
        <w:tc>
          <w:tcPr>
            <w:tcW w:w="3330" w:type="dxa"/>
            <w:tcBorders>
              <w:top w:val="single" w:sz="4" w:space="0" w:color="FFFFFF"/>
              <w:left w:val="single" w:sz="4" w:space="0" w:color="FFFFFF"/>
              <w:bottom w:val="single" w:sz="4" w:space="0" w:color="FFFFFF"/>
              <w:right w:val="single" w:sz="4" w:space="0" w:color="FFFFFF"/>
            </w:tcBorders>
            <w:shd w:val="clear" w:color="auto" w:fill="F8CC2A" w:themeFill="accent6"/>
          </w:tcPr>
          <w:p w14:paraId="1F06F0AD" w14:textId="77777777" w:rsidR="00ED72A6" w:rsidRPr="00ED72A6" w:rsidRDefault="00ED72A6" w:rsidP="00ED72A6">
            <w:pPr>
              <w:rPr>
                <w:b/>
                <w:bCs/>
                <w:sz w:val="24"/>
                <w:szCs w:val="24"/>
              </w:rPr>
            </w:pPr>
            <w:r w:rsidRPr="00ED72A6">
              <w:rPr>
                <w:b/>
                <w:bCs/>
                <w:sz w:val="24"/>
                <w:szCs w:val="24"/>
              </w:rPr>
              <w:t>Partial Readiness</w:t>
            </w:r>
          </w:p>
        </w:tc>
        <w:tc>
          <w:tcPr>
            <w:tcW w:w="5400" w:type="dxa"/>
            <w:tcBorders>
              <w:top w:val="single" w:sz="4" w:space="0" w:color="FFFFFF"/>
              <w:left w:val="single" w:sz="4" w:space="0" w:color="FFFFFF"/>
              <w:bottom w:val="single" w:sz="4" w:space="0" w:color="FFFFFF"/>
              <w:right w:val="single" w:sz="4" w:space="0" w:color="FFFFFF"/>
            </w:tcBorders>
            <w:shd w:val="clear" w:color="auto" w:fill="92C841" w:themeFill="accent3"/>
          </w:tcPr>
          <w:p w14:paraId="684BEAEC" w14:textId="77777777" w:rsidR="00ED72A6" w:rsidRPr="00ED72A6" w:rsidRDefault="00ED72A6" w:rsidP="00ED72A6">
            <w:pPr>
              <w:rPr>
                <w:b/>
                <w:bCs/>
                <w:sz w:val="24"/>
                <w:szCs w:val="24"/>
              </w:rPr>
            </w:pPr>
            <w:r w:rsidRPr="00ED72A6">
              <w:rPr>
                <w:b/>
                <w:bCs/>
                <w:sz w:val="24"/>
                <w:szCs w:val="24"/>
              </w:rPr>
              <w:t xml:space="preserve">Full Readiness </w:t>
            </w:r>
          </w:p>
        </w:tc>
      </w:tr>
      <w:tr w:rsidR="00ED72A6" w:rsidRPr="00ED72A6" w14:paraId="08BE3DA5" w14:textId="77777777" w:rsidTr="00342C78">
        <w:tc>
          <w:tcPr>
            <w:tcW w:w="269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73F56F73" w14:textId="5901B3A5" w:rsidR="00ED72A6" w:rsidRPr="00D62DB6" w:rsidRDefault="5B9F80DB" w:rsidP="00D62DB6">
            <w:pPr>
              <w:rPr>
                <w:rFonts w:eastAsiaTheme="minorEastAsia"/>
                <w:b/>
              </w:rPr>
            </w:pPr>
            <w:r w:rsidRPr="00D62DB6">
              <w:rPr>
                <w:b/>
                <w:bCs/>
              </w:rPr>
              <w:t xml:space="preserve">District System Development Committee  </w:t>
            </w:r>
          </w:p>
        </w:tc>
        <w:tc>
          <w:tcPr>
            <w:tcW w:w="324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29C18DA2" w14:textId="028D12D1" w:rsidR="00ED72A6" w:rsidRPr="005B18ED" w:rsidRDefault="00ED72A6" w:rsidP="00ED72A6">
            <w:pPr>
              <w:rPr>
                <w:sz w:val="20"/>
                <w:szCs w:val="20"/>
              </w:rPr>
            </w:pPr>
            <w:r w:rsidRPr="005B18ED">
              <w:rPr>
                <w:sz w:val="20"/>
                <w:szCs w:val="20"/>
              </w:rPr>
              <w:t>Isolated group of district leaders created local designation system. No teachers or campus leaders were involved</w:t>
            </w:r>
            <w:r w:rsidR="00414833" w:rsidRPr="005B18ED">
              <w:rPr>
                <w:sz w:val="20"/>
                <w:szCs w:val="20"/>
              </w:rPr>
              <w:t xml:space="preserve">. Less than </w:t>
            </w:r>
            <w:r w:rsidR="00337433" w:rsidRPr="005B18ED">
              <w:rPr>
                <w:sz w:val="20"/>
                <w:szCs w:val="20"/>
              </w:rPr>
              <w:t>one semester</w:t>
            </w:r>
            <w:r w:rsidR="00414833" w:rsidRPr="005B18ED">
              <w:rPr>
                <w:sz w:val="20"/>
                <w:szCs w:val="20"/>
              </w:rPr>
              <w:t xml:space="preserve"> was spent in the design process. Teacher recruitment and retention</w:t>
            </w:r>
            <w:r w:rsidR="006626F4" w:rsidRPr="005B18ED">
              <w:rPr>
                <w:sz w:val="20"/>
                <w:szCs w:val="20"/>
              </w:rPr>
              <w:t>, especially</w:t>
            </w:r>
            <w:r w:rsidR="00414833" w:rsidRPr="005B18ED">
              <w:rPr>
                <w:sz w:val="20"/>
                <w:szCs w:val="20"/>
              </w:rPr>
              <w:t xml:space="preserve"> on the highest needs campuses was </w:t>
            </w:r>
            <w:r w:rsidR="00337433" w:rsidRPr="005B18ED">
              <w:rPr>
                <w:sz w:val="20"/>
                <w:szCs w:val="20"/>
              </w:rPr>
              <w:t xml:space="preserve">not </w:t>
            </w:r>
            <w:r w:rsidR="00414833" w:rsidRPr="005B18ED">
              <w:rPr>
                <w:sz w:val="20"/>
                <w:szCs w:val="20"/>
              </w:rPr>
              <w:t>considered</w:t>
            </w:r>
          </w:p>
        </w:tc>
        <w:tc>
          <w:tcPr>
            <w:tcW w:w="33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01634743" w14:textId="1F8E52EB" w:rsidR="00ED72A6" w:rsidRPr="005B18ED" w:rsidRDefault="00ED72A6" w:rsidP="00ED72A6">
            <w:pPr>
              <w:rPr>
                <w:sz w:val="20"/>
                <w:szCs w:val="20"/>
              </w:rPr>
            </w:pPr>
            <w:r w:rsidRPr="005B18ED">
              <w:rPr>
                <w:sz w:val="20"/>
                <w:szCs w:val="20"/>
              </w:rPr>
              <w:t>District leaders created the designation system, with occasional input from teachers or campus leaders.</w:t>
            </w:r>
            <w:r w:rsidR="00755515" w:rsidRPr="005B18ED">
              <w:rPr>
                <w:sz w:val="20"/>
                <w:szCs w:val="20"/>
              </w:rPr>
              <w:t xml:space="preserve"> Less than one school year was spent in the design process. </w:t>
            </w:r>
            <w:r w:rsidR="00CD5860" w:rsidRPr="005B18ED">
              <w:rPr>
                <w:sz w:val="20"/>
                <w:szCs w:val="20"/>
              </w:rPr>
              <w:t>Teacher recruitment and retention</w:t>
            </w:r>
            <w:r w:rsidR="000F7F3E" w:rsidRPr="005B18ED">
              <w:rPr>
                <w:sz w:val="20"/>
                <w:szCs w:val="20"/>
              </w:rPr>
              <w:t>,</w:t>
            </w:r>
            <w:r w:rsidR="006626F4" w:rsidRPr="005B18ED">
              <w:rPr>
                <w:sz w:val="20"/>
                <w:szCs w:val="20"/>
              </w:rPr>
              <w:t xml:space="preserve"> especially</w:t>
            </w:r>
            <w:r w:rsidR="00A17D91" w:rsidRPr="005B18ED">
              <w:rPr>
                <w:sz w:val="20"/>
                <w:szCs w:val="20"/>
              </w:rPr>
              <w:t xml:space="preserve"> on </w:t>
            </w:r>
            <w:r w:rsidR="00070969">
              <w:rPr>
                <w:sz w:val="20"/>
                <w:szCs w:val="20"/>
              </w:rPr>
              <w:t xml:space="preserve">high </w:t>
            </w:r>
            <w:r w:rsidR="00A17D91" w:rsidRPr="005B18ED">
              <w:rPr>
                <w:sz w:val="20"/>
                <w:szCs w:val="20"/>
              </w:rPr>
              <w:t>needs campuses was considered only minimally</w:t>
            </w: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2E72E4BF" w14:textId="09AC76A7" w:rsidR="00ED72A6" w:rsidRPr="00070969" w:rsidRDefault="00ED72A6" w:rsidP="00ED72A6">
            <w:pPr>
              <w:rPr>
                <w:sz w:val="20"/>
                <w:szCs w:val="20"/>
              </w:rPr>
            </w:pPr>
            <w:r w:rsidRPr="005B18ED">
              <w:rPr>
                <w:sz w:val="20"/>
                <w:szCs w:val="20"/>
              </w:rPr>
              <w:t xml:space="preserve">A clear and transparent process was used to form the </w:t>
            </w:r>
            <w:r w:rsidR="004C36A1">
              <w:rPr>
                <w:sz w:val="20"/>
                <w:szCs w:val="20"/>
              </w:rPr>
              <w:t xml:space="preserve">district </w:t>
            </w:r>
            <w:r w:rsidR="00B2471B">
              <w:rPr>
                <w:sz w:val="20"/>
                <w:szCs w:val="20"/>
              </w:rPr>
              <w:t xml:space="preserve">system </w:t>
            </w:r>
            <w:r w:rsidR="004C36A1">
              <w:rPr>
                <w:sz w:val="20"/>
                <w:szCs w:val="20"/>
              </w:rPr>
              <w:t>de</w:t>
            </w:r>
            <w:r w:rsidR="00FA6B83">
              <w:rPr>
                <w:sz w:val="20"/>
                <w:szCs w:val="20"/>
              </w:rPr>
              <w:t xml:space="preserve">velopment </w:t>
            </w:r>
            <w:r w:rsidR="004C36A1">
              <w:rPr>
                <w:sz w:val="20"/>
                <w:szCs w:val="20"/>
              </w:rPr>
              <w:t xml:space="preserve">committee </w:t>
            </w:r>
            <w:r w:rsidRPr="005B18ED">
              <w:rPr>
                <w:sz w:val="20"/>
                <w:szCs w:val="20"/>
              </w:rPr>
              <w:t>charged with creating the local teacher designation system in alignment with statewide performance standards. The group includes district and campus-based leaders, as well as teachers.</w:t>
            </w:r>
            <w:r w:rsidR="00B448DF" w:rsidRPr="005B18ED">
              <w:rPr>
                <w:sz w:val="20"/>
                <w:szCs w:val="20"/>
              </w:rPr>
              <w:t xml:space="preserve"> The development process</w:t>
            </w:r>
            <w:r w:rsidR="00EE001B" w:rsidRPr="005B18ED">
              <w:rPr>
                <w:sz w:val="20"/>
                <w:szCs w:val="20"/>
              </w:rPr>
              <w:t xml:space="preserve"> took place over the course of at least one school year</w:t>
            </w:r>
            <w:r w:rsidRPr="005B18ED">
              <w:rPr>
                <w:sz w:val="20"/>
                <w:szCs w:val="20"/>
              </w:rPr>
              <w:t>.</w:t>
            </w:r>
            <w:r w:rsidR="006714DA" w:rsidRPr="005B18ED">
              <w:rPr>
                <w:sz w:val="20"/>
                <w:szCs w:val="20"/>
              </w:rPr>
              <w:t xml:space="preserve"> Teacher recruitment and retention on the highest needs campuses was considered </w:t>
            </w:r>
            <w:r w:rsidR="00D62202" w:rsidRPr="005B18ED">
              <w:rPr>
                <w:sz w:val="20"/>
                <w:szCs w:val="20"/>
              </w:rPr>
              <w:t>as part of the development process</w:t>
            </w:r>
            <w:r w:rsidR="006714DA" w:rsidRPr="005B18ED">
              <w:rPr>
                <w:sz w:val="20"/>
                <w:szCs w:val="20"/>
              </w:rPr>
              <w:t xml:space="preserve"> </w:t>
            </w:r>
          </w:p>
        </w:tc>
      </w:tr>
      <w:bookmarkEnd w:id="0"/>
      <w:tr w:rsidR="00ED72A6" w:rsidRPr="00ED72A6" w14:paraId="12918FF5" w14:textId="77777777" w:rsidTr="008D06CD">
        <w:tc>
          <w:tcPr>
            <w:tcW w:w="269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054F96A5" w14:textId="569A2D4A" w:rsidR="00ED72A6" w:rsidRPr="00D62DB6" w:rsidRDefault="00ED72A6" w:rsidP="00D62DB6">
            <w:pPr>
              <w:rPr>
                <w:b/>
                <w:bCs/>
              </w:rPr>
            </w:pPr>
            <w:r w:rsidRPr="00D62DB6">
              <w:rPr>
                <w:b/>
                <w:bCs/>
              </w:rPr>
              <w:t>District plan for stakeholder feedback and input on the teacher designation system</w:t>
            </w:r>
          </w:p>
          <w:p w14:paraId="5F06E38E" w14:textId="71061BAE" w:rsidR="00ED72A6" w:rsidRPr="00ED72A6" w:rsidRDefault="00ED72A6" w:rsidP="00D62DB6">
            <w:pPr>
              <w:rPr>
                <w:b/>
                <w:bCs/>
              </w:rPr>
            </w:pPr>
          </w:p>
        </w:tc>
        <w:tc>
          <w:tcPr>
            <w:tcW w:w="324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2654B44D" w14:textId="77777777" w:rsidR="00ED72A6" w:rsidRPr="00ED72A6" w:rsidRDefault="00ED72A6" w:rsidP="00ED72A6">
            <w:pPr>
              <w:rPr>
                <w:sz w:val="20"/>
                <w:szCs w:val="20"/>
              </w:rPr>
            </w:pPr>
            <w:r w:rsidRPr="00ED72A6">
              <w:rPr>
                <w:sz w:val="20"/>
                <w:szCs w:val="20"/>
              </w:rPr>
              <w:t>Throughout the development of the teacher designation system, there was no process for gathering stakeholder feedback</w:t>
            </w:r>
          </w:p>
        </w:tc>
        <w:tc>
          <w:tcPr>
            <w:tcW w:w="33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A95AF2A" w14:textId="6F7C184E" w:rsidR="00ED72A6" w:rsidRPr="005B18ED" w:rsidRDefault="0014645E" w:rsidP="00ED72A6">
            <w:pPr>
              <w:rPr>
                <w:sz w:val="20"/>
                <w:szCs w:val="20"/>
              </w:rPr>
            </w:pPr>
            <w:r>
              <w:rPr>
                <w:sz w:val="20"/>
                <w:szCs w:val="20"/>
              </w:rPr>
              <w:t>The district implemented some stakeholder engagement strategies</w:t>
            </w:r>
            <w:r w:rsidR="00ED72A6" w:rsidRPr="005B18ED">
              <w:rPr>
                <w:sz w:val="20"/>
                <w:szCs w:val="20"/>
              </w:rPr>
              <w:t xml:space="preserve"> to share the plans for the teacher designation system, but there were no opportunities for input or feedback</w:t>
            </w:r>
            <w:r w:rsidR="008233A2" w:rsidRPr="005B18ED">
              <w:rPr>
                <w:sz w:val="20"/>
                <w:szCs w:val="20"/>
              </w:rPr>
              <w:t xml:space="preserve">. The task force met with stakeholders </w:t>
            </w:r>
            <w:r w:rsidR="00A27523" w:rsidRPr="005B18ED">
              <w:rPr>
                <w:sz w:val="20"/>
                <w:szCs w:val="20"/>
              </w:rPr>
              <w:t>infrequently</w:t>
            </w: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35A4E929" w14:textId="032B71E9" w:rsidR="00ED72A6" w:rsidRPr="005B18ED" w:rsidRDefault="00ED72A6" w:rsidP="00A20715">
            <w:pPr>
              <w:rPr>
                <w:i/>
                <w:iCs/>
                <w:sz w:val="20"/>
                <w:szCs w:val="20"/>
              </w:rPr>
            </w:pPr>
            <w:r w:rsidRPr="005B18ED">
              <w:rPr>
                <w:sz w:val="20"/>
                <w:szCs w:val="20"/>
              </w:rPr>
              <w:t xml:space="preserve">Robust stakeholder engagement </w:t>
            </w:r>
            <w:r w:rsidR="00CA57BF">
              <w:rPr>
                <w:sz w:val="20"/>
                <w:szCs w:val="20"/>
              </w:rPr>
              <w:t>strategies were</w:t>
            </w:r>
            <w:r w:rsidRPr="005B18ED">
              <w:rPr>
                <w:sz w:val="20"/>
                <w:szCs w:val="20"/>
              </w:rPr>
              <w:t xml:space="preserve"> implemented including information sharing, input gathering </w:t>
            </w:r>
            <w:r w:rsidR="00056E2F">
              <w:rPr>
                <w:sz w:val="20"/>
                <w:szCs w:val="20"/>
              </w:rPr>
              <w:t>and a plan to use input received</w:t>
            </w:r>
            <w:r w:rsidRPr="005B18ED">
              <w:rPr>
                <w:sz w:val="20"/>
                <w:szCs w:val="20"/>
              </w:rPr>
              <w:t xml:space="preserve"> from representative teacher</w:t>
            </w:r>
            <w:r w:rsidR="004849D2">
              <w:rPr>
                <w:sz w:val="20"/>
                <w:szCs w:val="20"/>
              </w:rPr>
              <w:t xml:space="preserve">, </w:t>
            </w:r>
            <w:r w:rsidRPr="005B18ED">
              <w:rPr>
                <w:sz w:val="20"/>
                <w:szCs w:val="20"/>
              </w:rPr>
              <w:t>principal</w:t>
            </w:r>
            <w:r w:rsidR="004849D2">
              <w:rPr>
                <w:sz w:val="20"/>
                <w:szCs w:val="20"/>
              </w:rPr>
              <w:t xml:space="preserve">, and </w:t>
            </w:r>
            <w:r w:rsidR="00071AC7">
              <w:rPr>
                <w:sz w:val="20"/>
                <w:szCs w:val="20"/>
              </w:rPr>
              <w:t>district level</w:t>
            </w:r>
            <w:r w:rsidR="2778A012" w:rsidRPr="005B18ED">
              <w:rPr>
                <w:sz w:val="20"/>
                <w:szCs w:val="20"/>
              </w:rPr>
              <w:t xml:space="preserve"> group</w:t>
            </w:r>
            <w:r w:rsidR="004849D2">
              <w:rPr>
                <w:sz w:val="20"/>
                <w:szCs w:val="20"/>
              </w:rPr>
              <w:t>s</w:t>
            </w:r>
            <w:r w:rsidRPr="005B18ED">
              <w:rPr>
                <w:sz w:val="20"/>
                <w:szCs w:val="20"/>
              </w:rPr>
              <w:t xml:space="preserve">. The </w:t>
            </w:r>
            <w:r w:rsidR="00B8222E">
              <w:rPr>
                <w:sz w:val="20"/>
                <w:szCs w:val="20"/>
              </w:rPr>
              <w:t>district system de</w:t>
            </w:r>
            <w:r w:rsidR="00FD1E65">
              <w:rPr>
                <w:sz w:val="20"/>
                <w:szCs w:val="20"/>
              </w:rPr>
              <w:t>velopment</w:t>
            </w:r>
            <w:r w:rsidR="00B8222E">
              <w:rPr>
                <w:sz w:val="20"/>
                <w:szCs w:val="20"/>
              </w:rPr>
              <w:t xml:space="preserve"> committee</w:t>
            </w:r>
            <w:r w:rsidRPr="005B18ED">
              <w:rPr>
                <w:sz w:val="20"/>
                <w:szCs w:val="20"/>
              </w:rPr>
              <w:t xml:space="preserve"> implemented feedback from stakeholder groups into the de</w:t>
            </w:r>
            <w:r w:rsidR="00FD1E65">
              <w:rPr>
                <w:sz w:val="20"/>
                <w:szCs w:val="20"/>
              </w:rPr>
              <w:t xml:space="preserve">sign </w:t>
            </w:r>
            <w:r w:rsidRPr="005B18ED">
              <w:rPr>
                <w:sz w:val="20"/>
                <w:szCs w:val="20"/>
              </w:rPr>
              <w:t>of the local designation system</w:t>
            </w:r>
            <w:r w:rsidR="75F3C967" w:rsidRPr="005B18ED">
              <w:rPr>
                <w:sz w:val="20"/>
                <w:szCs w:val="20"/>
              </w:rPr>
              <w:t xml:space="preserve">. The </w:t>
            </w:r>
            <w:r w:rsidR="00CF65D0">
              <w:rPr>
                <w:sz w:val="20"/>
                <w:szCs w:val="20"/>
              </w:rPr>
              <w:t xml:space="preserve">committee </w:t>
            </w:r>
            <w:r w:rsidR="75F3C967" w:rsidRPr="005B18ED">
              <w:rPr>
                <w:sz w:val="20"/>
                <w:szCs w:val="20"/>
              </w:rPr>
              <w:t>met with stakeholder groups at least quarterly</w:t>
            </w:r>
            <w:r w:rsidR="00723436">
              <w:rPr>
                <w:sz w:val="20"/>
                <w:szCs w:val="20"/>
              </w:rPr>
              <w:t>. A clear</w:t>
            </w:r>
            <w:r w:rsidR="001149B3">
              <w:rPr>
                <w:sz w:val="20"/>
                <w:szCs w:val="20"/>
              </w:rPr>
              <w:t>, transparent</w:t>
            </w:r>
            <w:r w:rsidR="00174A5F">
              <w:rPr>
                <w:sz w:val="20"/>
                <w:szCs w:val="20"/>
              </w:rPr>
              <w:t>,</w:t>
            </w:r>
            <w:r w:rsidR="001149B3">
              <w:rPr>
                <w:sz w:val="20"/>
                <w:szCs w:val="20"/>
              </w:rPr>
              <w:t xml:space="preserve"> and equitable process was used to select</w:t>
            </w:r>
            <w:r w:rsidR="00E239C0">
              <w:rPr>
                <w:sz w:val="20"/>
                <w:szCs w:val="20"/>
              </w:rPr>
              <w:t xml:space="preserve"> stakeholder groups</w:t>
            </w:r>
          </w:p>
        </w:tc>
      </w:tr>
      <w:tr w:rsidR="00ED72A6" w:rsidRPr="00ED72A6" w14:paraId="5A311E3C" w14:textId="77777777" w:rsidTr="008D06CD">
        <w:tc>
          <w:tcPr>
            <w:tcW w:w="269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754C571C" w14:textId="630C4F13" w:rsidR="00ED72A6" w:rsidRPr="00D62DB6" w:rsidRDefault="00ED72A6" w:rsidP="00D62DB6">
            <w:pPr>
              <w:rPr>
                <w:b/>
                <w:bCs/>
              </w:rPr>
            </w:pPr>
            <w:r w:rsidRPr="00D62DB6">
              <w:rPr>
                <w:b/>
                <w:bCs/>
              </w:rPr>
              <w:t>Staff accessible resources</w:t>
            </w:r>
          </w:p>
          <w:p w14:paraId="0CB6B45A" w14:textId="77777777" w:rsidR="00ED72A6" w:rsidRPr="00ED72A6" w:rsidRDefault="00ED72A6" w:rsidP="00D62DB6">
            <w:pPr>
              <w:rPr>
                <w:b/>
                <w:bCs/>
              </w:rPr>
            </w:pPr>
          </w:p>
          <w:p w14:paraId="583198D1" w14:textId="48D9B475" w:rsidR="00ED72A6" w:rsidRPr="00ED72A6" w:rsidRDefault="00ED72A6" w:rsidP="00D62DB6">
            <w:pPr>
              <w:rPr>
                <w:b/>
                <w:bCs/>
              </w:rPr>
            </w:pPr>
          </w:p>
        </w:tc>
        <w:tc>
          <w:tcPr>
            <w:tcW w:w="324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01C065A4" w14:textId="77777777" w:rsidR="00ED72A6" w:rsidRPr="00ED72A6" w:rsidRDefault="00ED72A6" w:rsidP="00ED72A6">
            <w:pPr>
              <w:rPr>
                <w:sz w:val="20"/>
                <w:szCs w:val="20"/>
              </w:rPr>
            </w:pPr>
            <w:r w:rsidRPr="00ED72A6">
              <w:rPr>
                <w:sz w:val="20"/>
                <w:szCs w:val="20"/>
              </w:rPr>
              <w:t>Most teachers are not aware of how designations will be earned in the district. Very limited or no information/resources are available to district staff</w:t>
            </w:r>
          </w:p>
        </w:tc>
        <w:tc>
          <w:tcPr>
            <w:tcW w:w="33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4D0804A4" w14:textId="0139045E" w:rsidR="00ED72A6" w:rsidRPr="005B18ED" w:rsidRDefault="00ED72A6" w:rsidP="00ED72A6">
            <w:pPr>
              <w:rPr>
                <w:sz w:val="20"/>
                <w:szCs w:val="20"/>
              </w:rPr>
            </w:pPr>
            <w:r w:rsidRPr="005B18ED">
              <w:rPr>
                <w:sz w:val="20"/>
                <w:szCs w:val="20"/>
              </w:rPr>
              <w:t>Some teachers on some campuses understand how designations can be earned. Limited information is available with few to no resource tools published for teachers.</w:t>
            </w:r>
            <w:r w:rsidR="00015A22" w:rsidRPr="005B18ED">
              <w:rPr>
                <w:sz w:val="20"/>
                <w:szCs w:val="20"/>
              </w:rPr>
              <w:t xml:space="preserve"> It is not clear how TIA will work with</w:t>
            </w:r>
            <w:r w:rsidR="004406E9" w:rsidRPr="005B18ED">
              <w:rPr>
                <w:sz w:val="20"/>
                <w:szCs w:val="20"/>
              </w:rPr>
              <w:t xml:space="preserve"> </w:t>
            </w:r>
            <w:r w:rsidR="00CD23B8" w:rsidRPr="005B18ED">
              <w:rPr>
                <w:sz w:val="20"/>
                <w:szCs w:val="20"/>
              </w:rPr>
              <w:t xml:space="preserve">or </w:t>
            </w:r>
            <w:r w:rsidR="00CD23B8" w:rsidRPr="005B18ED">
              <w:rPr>
                <w:sz w:val="20"/>
                <w:szCs w:val="20"/>
              </w:rPr>
              <w:lastRenderedPageBreak/>
              <w:t>replace the district’s current compensation system</w:t>
            </w: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69E03A80" w14:textId="62B2FF88" w:rsidR="00ED72A6" w:rsidRPr="005B18ED" w:rsidRDefault="00ED72A6" w:rsidP="00ED72A6">
            <w:pPr>
              <w:rPr>
                <w:sz w:val="20"/>
                <w:szCs w:val="20"/>
              </w:rPr>
            </w:pPr>
            <w:r w:rsidRPr="005B18ED">
              <w:rPr>
                <w:sz w:val="20"/>
                <w:szCs w:val="20"/>
              </w:rPr>
              <w:lastRenderedPageBreak/>
              <w:t xml:space="preserve">Clear information and </w:t>
            </w:r>
            <w:r w:rsidR="00451BBE">
              <w:rPr>
                <w:sz w:val="20"/>
                <w:szCs w:val="20"/>
              </w:rPr>
              <w:t>multiple r</w:t>
            </w:r>
            <w:r w:rsidRPr="005B18ED">
              <w:rPr>
                <w:sz w:val="20"/>
                <w:szCs w:val="20"/>
              </w:rPr>
              <w:t>esources are available to district and campus staff electronically. Teachers understand the requirements to be eligible to earn a designation. Both teachers and principals have access to training manuals.</w:t>
            </w:r>
            <w:r w:rsidR="32E2BF81" w:rsidRPr="005B18ED">
              <w:rPr>
                <w:sz w:val="20"/>
                <w:szCs w:val="20"/>
              </w:rPr>
              <w:t xml:space="preserve"> </w:t>
            </w:r>
          </w:p>
        </w:tc>
      </w:tr>
    </w:tbl>
    <w:p w14:paraId="637232B8" w14:textId="776912D9" w:rsidR="00ED72A6" w:rsidRDefault="00ED72A6" w:rsidP="00ED72A6">
      <w:pPr>
        <w:spacing w:after="0"/>
        <w:rPr>
          <w:sz w:val="24"/>
          <w:szCs w:val="24"/>
        </w:rPr>
      </w:pPr>
    </w:p>
    <w:p w14:paraId="150508E5" w14:textId="7D32E89E" w:rsidR="00D62DB6" w:rsidRDefault="00D62DB6" w:rsidP="00ED72A6">
      <w:pPr>
        <w:spacing w:after="0"/>
        <w:rPr>
          <w:sz w:val="24"/>
          <w:szCs w:val="24"/>
        </w:rPr>
      </w:pPr>
    </w:p>
    <w:p w14:paraId="2512F4C7" w14:textId="3468A91F" w:rsidR="00D62DB6" w:rsidRDefault="00D62DB6" w:rsidP="00ED72A6">
      <w:pPr>
        <w:spacing w:after="0"/>
        <w:rPr>
          <w:sz w:val="24"/>
          <w:szCs w:val="24"/>
        </w:rPr>
      </w:pPr>
    </w:p>
    <w:p w14:paraId="2E2CDB43" w14:textId="09E45A62" w:rsidR="00AC63FB" w:rsidRDefault="00AC63FB" w:rsidP="00ED72A6">
      <w:pPr>
        <w:spacing w:after="0"/>
        <w:rPr>
          <w:sz w:val="24"/>
          <w:szCs w:val="24"/>
        </w:rPr>
      </w:pPr>
    </w:p>
    <w:p w14:paraId="186C0831" w14:textId="77777777" w:rsidR="00AC63FB" w:rsidRDefault="00AC63FB" w:rsidP="00ED72A6">
      <w:pPr>
        <w:spacing w:after="0"/>
        <w:rPr>
          <w:sz w:val="24"/>
          <w:szCs w:val="24"/>
        </w:rPr>
      </w:pPr>
    </w:p>
    <w:p w14:paraId="73E987FD" w14:textId="6112E560" w:rsidR="00D62DB6" w:rsidRDefault="00D62DB6" w:rsidP="00ED72A6">
      <w:pPr>
        <w:spacing w:after="0"/>
        <w:rPr>
          <w:sz w:val="24"/>
          <w:szCs w:val="24"/>
        </w:rPr>
      </w:pPr>
    </w:p>
    <w:p w14:paraId="279E4C7A" w14:textId="77777777" w:rsidR="00D62DB6" w:rsidRPr="00ED72A6" w:rsidRDefault="00D62DB6" w:rsidP="00D62DB6">
      <w:pPr>
        <w:spacing w:after="0"/>
        <w:rPr>
          <w:sz w:val="24"/>
          <w:szCs w:val="24"/>
        </w:rPr>
      </w:pPr>
      <w:r>
        <w:rPr>
          <w:sz w:val="24"/>
          <w:szCs w:val="24"/>
        </w:rPr>
        <w:t>System Development and Stakeholder Engagement</w:t>
      </w:r>
    </w:p>
    <w:p w14:paraId="2CF68671" w14:textId="77777777" w:rsidR="00D62DB6" w:rsidRPr="00ED72A6" w:rsidRDefault="00D62DB6" w:rsidP="00ED72A6">
      <w:pPr>
        <w:spacing w:after="0"/>
        <w:rPr>
          <w:sz w:val="24"/>
          <w:szCs w:val="24"/>
        </w:rPr>
      </w:pPr>
    </w:p>
    <w:tbl>
      <w:tblPr>
        <w:tblStyle w:val="TableGrid"/>
        <w:tblW w:w="14665" w:type="dxa"/>
        <w:tblLook w:val="04A0" w:firstRow="1" w:lastRow="0" w:firstColumn="1" w:lastColumn="0" w:noHBand="0" w:noVBand="1"/>
      </w:tblPr>
      <w:tblGrid>
        <w:gridCol w:w="2695"/>
        <w:gridCol w:w="3240"/>
        <w:gridCol w:w="3330"/>
        <w:gridCol w:w="5400"/>
      </w:tblGrid>
      <w:tr w:rsidR="00ED72A6" w:rsidRPr="00ED72A6" w14:paraId="30107D3A" w14:textId="77777777" w:rsidTr="008D06CD">
        <w:tc>
          <w:tcPr>
            <w:tcW w:w="269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79BD7F45" w14:textId="23213351" w:rsidR="00ED72A6" w:rsidRPr="00D62DB6" w:rsidRDefault="00ED72A6" w:rsidP="00D62DB6">
            <w:pPr>
              <w:rPr>
                <w:b/>
                <w:bCs/>
              </w:rPr>
            </w:pPr>
            <w:r w:rsidRPr="00D62DB6">
              <w:rPr>
                <w:b/>
                <w:bCs/>
              </w:rPr>
              <w:t>District leadership</w:t>
            </w:r>
            <w:r w:rsidR="16CB2850" w:rsidRPr="00D62DB6">
              <w:rPr>
                <w:b/>
                <w:bCs/>
              </w:rPr>
              <w:t>,</w:t>
            </w:r>
            <w:r w:rsidRPr="00D62DB6">
              <w:rPr>
                <w:b/>
                <w:bCs/>
              </w:rPr>
              <w:t xml:space="preserve"> school board and teacher </w:t>
            </w:r>
            <w:r w:rsidR="61EA9A10" w:rsidRPr="00D62DB6">
              <w:rPr>
                <w:b/>
                <w:bCs/>
              </w:rPr>
              <w:t xml:space="preserve">system </w:t>
            </w:r>
            <w:r w:rsidRPr="00D62DB6">
              <w:rPr>
                <w:b/>
                <w:bCs/>
              </w:rPr>
              <w:t>buy-in</w:t>
            </w:r>
          </w:p>
        </w:tc>
        <w:tc>
          <w:tcPr>
            <w:tcW w:w="324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75C872C6" w14:textId="77777777" w:rsidR="00ED72A6" w:rsidRPr="00ED72A6" w:rsidRDefault="00ED72A6" w:rsidP="00ED72A6">
            <w:pPr>
              <w:rPr>
                <w:sz w:val="20"/>
                <w:szCs w:val="20"/>
              </w:rPr>
            </w:pPr>
            <w:r w:rsidRPr="00ED72A6">
              <w:rPr>
                <w:sz w:val="20"/>
                <w:szCs w:val="20"/>
              </w:rPr>
              <w:t>District leaders and school board members are not able to articulate a clear understanding of the local designation system. Teachers are not able to articulate a clear understanding of the local designation system. School board does not support moving forward.</w:t>
            </w:r>
          </w:p>
        </w:tc>
        <w:tc>
          <w:tcPr>
            <w:tcW w:w="33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25E807BF" w14:textId="0C8AF638" w:rsidR="00ED72A6" w:rsidRPr="00ED72A6" w:rsidRDefault="00ED72A6" w:rsidP="00ED72A6">
            <w:pPr>
              <w:rPr>
                <w:sz w:val="20"/>
                <w:szCs w:val="20"/>
              </w:rPr>
            </w:pPr>
            <w:r w:rsidRPr="00ED72A6">
              <w:rPr>
                <w:sz w:val="20"/>
                <w:szCs w:val="20"/>
              </w:rPr>
              <w:t xml:space="preserve">Some district leaders, some school board members, and some teachers can articulate a clear understanding of the local teacher designation system. School board has not voted on support </w:t>
            </w:r>
            <w:r w:rsidR="003A100E">
              <w:rPr>
                <w:sz w:val="20"/>
                <w:szCs w:val="20"/>
              </w:rPr>
              <w:t xml:space="preserve">of the </w:t>
            </w:r>
            <w:r w:rsidRPr="00ED72A6">
              <w:rPr>
                <w:sz w:val="20"/>
                <w:szCs w:val="20"/>
              </w:rPr>
              <w:t>system</w:t>
            </w:r>
            <w:r w:rsidR="003A100E">
              <w:rPr>
                <w:sz w:val="20"/>
                <w:szCs w:val="20"/>
              </w:rPr>
              <w:t xml:space="preserve"> application</w:t>
            </w: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69F67C6E" w14:textId="5F407971" w:rsidR="00ED72A6" w:rsidRPr="00E44DC0" w:rsidRDefault="00326D26" w:rsidP="00ED72A6">
            <w:pPr>
              <w:rPr>
                <w:sz w:val="20"/>
                <w:szCs w:val="20"/>
              </w:rPr>
            </w:pPr>
            <w:r>
              <w:rPr>
                <w:sz w:val="20"/>
                <w:szCs w:val="20"/>
              </w:rPr>
              <w:t>There is data to support that d</w:t>
            </w:r>
            <w:r w:rsidR="00ED72A6" w:rsidRPr="00ED72A6">
              <w:rPr>
                <w:sz w:val="20"/>
                <w:szCs w:val="20"/>
              </w:rPr>
              <w:t>istrict leaders, school board members, and teachers are able to articulate a clear understanding of the local teacher designation system and support the district’s plans to move forward</w:t>
            </w:r>
            <w:r w:rsidR="003A100E">
              <w:rPr>
                <w:sz w:val="20"/>
                <w:szCs w:val="20"/>
              </w:rPr>
              <w:t xml:space="preserve"> with the application process</w:t>
            </w:r>
            <w:r w:rsidR="00C37F16">
              <w:rPr>
                <w:sz w:val="20"/>
                <w:szCs w:val="20"/>
              </w:rPr>
              <w:t xml:space="preserve">. There is a clear plan for how the district will support teachers who want to </w:t>
            </w:r>
            <w:r w:rsidR="00334585">
              <w:rPr>
                <w:sz w:val="20"/>
                <w:szCs w:val="20"/>
              </w:rPr>
              <w:t>earn designations</w:t>
            </w:r>
          </w:p>
        </w:tc>
      </w:tr>
      <w:tr w:rsidR="00ED72A6" w:rsidRPr="00ED72A6" w14:paraId="61698487" w14:textId="77777777" w:rsidTr="008D06CD">
        <w:tc>
          <w:tcPr>
            <w:tcW w:w="269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01F8F6D2" w14:textId="03C3CD86" w:rsidR="00ED72A6" w:rsidRPr="00D62DB6" w:rsidRDefault="00ED72A6" w:rsidP="00D62DB6">
            <w:pPr>
              <w:rPr>
                <w:b/>
                <w:bCs/>
              </w:rPr>
            </w:pPr>
            <w:r w:rsidRPr="00D62DB6">
              <w:rPr>
                <w:b/>
                <w:bCs/>
              </w:rPr>
              <w:t>Regular stakeholder communication update</w:t>
            </w:r>
            <w:r w:rsidR="00E44DC0" w:rsidRPr="00D62DB6">
              <w:rPr>
                <w:b/>
                <w:bCs/>
              </w:rPr>
              <w:t>s</w:t>
            </w:r>
          </w:p>
        </w:tc>
        <w:tc>
          <w:tcPr>
            <w:tcW w:w="324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47218B1D" w14:textId="3C3E4AC0" w:rsidR="00ED72A6" w:rsidRPr="00BD28AE" w:rsidRDefault="00ED72A6" w:rsidP="00ED72A6">
            <w:pPr>
              <w:rPr>
                <w:sz w:val="20"/>
                <w:szCs w:val="20"/>
              </w:rPr>
            </w:pPr>
            <w:r w:rsidRPr="00BD28AE">
              <w:rPr>
                <w:sz w:val="20"/>
                <w:szCs w:val="20"/>
              </w:rPr>
              <w:t>No plans exist for regular stakeholder updates</w:t>
            </w:r>
            <w:r w:rsidR="00600C17" w:rsidRPr="00BD28AE">
              <w:rPr>
                <w:sz w:val="20"/>
                <w:szCs w:val="20"/>
              </w:rPr>
              <w:t>. Teachers do not receive support for how to earn designations. No campuses have campus</w:t>
            </w:r>
            <w:r w:rsidR="00447860" w:rsidRPr="00BD28AE">
              <w:rPr>
                <w:sz w:val="20"/>
                <w:szCs w:val="20"/>
              </w:rPr>
              <w:t>-</w:t>
            </w:r>
            <w:r w:rsidR="00600C17" w:rsidRPr="00BD28AE">
              <w:rPr>
                <w:sz w:val="20"/>
                <w:szCs w:val="20"/>
              </w:rPr>
              <w:t>based TIA support in place</w:t>
            </w:r>
          </w:p>
        </w:tc>
        <w:tc>
          <w:tcPr>
            <w:tcW w:w="33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6CE2B38C" w14:textId="471D36C2" w:rsidR="00ED72A6" w:rsidRPr="00BD28AE" w:rsidRDefault="00ED72A6" w:rsidP="00ED72A6">
            <w:pPr>
              <w:rPr>
                <w:sz w:val="20"/>
                <w:szCs w:val="20"/>
              </w:rPr>
            </w:pPr>
            <w:r w:rsidRPr="00BD28AE">
              <w:rPr>
                <w:sz w:val="20"/>
                <w:szCs w:val="20"/>
              </w:rPr>
              <w:t>District leaders receive some updates, but campus leaders and teachers rarely receive updates</w:t>
            </w:r>
            <w:r w:rsidR="00300138" w:rsidRPr="00BD28AE">
              <w:rPr>
                <w:sz w:val="20"/>
                <w:szCs w:val="20"/>
              </w:rPr>
              <w:t>. Teachers receive inconsistent support for how to earn designations. Some campuses have</w:t>
            </w:r>
            <w:r w:rsidR="00600C17" w:rsidRPr="00BD28AE">
              <w:rPr>
                <w:sz w:val="20"/>
                <w:szCs w:val="20"/>
              </w:rPr>
              <w:t xml:space="preserve"> campus level TIA </w:t>
            </w:r>
            <w:r w:rsidR="00BB018D" w:rsidRPr="00BD28AE">
              <w:rPr>
                <w:sz w:val="20"/>
                <w:szCs w:val="20"/>
              </w:rPr>
              <w:t>support,</w:t>
            </w:r>
            <w:r w:rsidR="00600C17" w:rsidRPr="00BD28AE">
              <w:rPr>
                <w:sz w:val="20"/>
                <w:szCs w:val="20"/>
              </w:rPr>
              <w:t xml:space="preserve"> and some do not</w:t>
            </w: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1969F27D" w14:textId="77777777" w:rsidR="00C26180" w:rsidRDefault="00C26180" w:rsidP="00C26180">
            <w:pPr>
              <w:rPr>
                <w:sz w:val="20"/>
                <w:szCs w:val="20"/>
              </w:rPr>
            </w:pPr>
            <w:r w:rsidRPr="005B18ED">
              <w:rPr>
                <w:sz w:val="20"/>
                <w:szCs w:val="20"/>
              </w:rPr>
              <w:t xml:space="preserve">Clear information and </w:t>
            </w:r>
            <w:r>
              <w:rPr>
                <w:sz w:val="20"/>
                <w:szCs w:val="20"/>
              </w:rPr>
              <w:t>multiple r</w:t>
            </w:r>
            <w:r w:rsidRPr="005B18ED">
              <w:rPr>
                <w:sz w:val="20"/>
                <w:szCs w:val="20"/>
              </w:rPr>
              <w:t xml:space="preserve">esources are available to district and campus staff electronically. Teachers understand the requirements to be eligible to earn a designation. </w:t>
            </w:r>
            <w:r w:rsidR="00F05DCD">
              <w:rPr>
                <w:sz w:val="20"/>
                <w:szCs w:val="20"/>
              </w:rPr>
              <w:t>Regular updates</w:t>
            </w:r>
            <w:r w:rsidR="00D40CB7">
              <w:rPr>
                <w:sz w:val="20"/>
                <w:szCs w:val="20"/>
              </w:rPr>
              <w:t xml:space="preserve"> to stakeholder groups</w:t>
            </w:r>
            <w:r w:rsidR="00F85D32">
              <w:rPr>
                <w:sz w:val="20"/>
                <w:szCs w:val="20"/>
              </w:rPr>
              <w:t xml:space="preserve"> are planned</w:t>
            </w:r>
            <w:r w:rsidR="00462DF1">
              <w:rPr>
                <w:sz w:val="20"/>
                <w:szCs w:val="20"/>
              </w:rPr>
              <w:t>, including</w:t>
            </w:r>
            <w:r w:rsidR="006D308A">
              <w:rPr>
                <w:sz w:val="20"/>
                <w:szCs w:val="20"/>
              </w:rPr>
              <w:t xml:space="preserve"> plans to share the final version of the</w:t>
            </w:r>
            <w:r w:rsidR="00757B97">
              <w:rPr>
                <w:sz w:val="20"/>
                <w:szCs w:val="20"/>
              </w:rPr>
              <w:t xml:space="preserve"> </w:t>
            </w:r>
            <w:r w:rsidR="00DC0EBA">
              <w:rPr>
                <w:sz w:val="20"/>
                <w:szCs w:val="20"/>
              </w:rPr>
              <w:t>local teacher designation system</w:t>
            </w:r>
            <w:r w:rsidR="00FB6F7A">
              <w:rPr>
                <w:sz w:val="20"/>
                <w:szCs w:val="20"/>
              </w:rPr>
              <w:t xml:space="preserve"> once the System Review process is complete?</w:t>
            </w:r>
            <w:r w:rsidR="00B567A8">
              <w:rPr>
                <w:sz w:val="20"/>
                <w:szCs w:val="20"/>
              </w:rPr>
              <w:t xml:space="preserve"> </w:t>
            </w:r>
            <w:r>
              <w:rPr>
                <w:sz w:val="20"/>
                <w:szCs w:val="20"/>
              </w:rPr>
              <w:t>There is a clear plan to communicate to teachers when they are being put forth for designation, and when they are approved for a designation</w:t>
            </w:r>
            <w:r w:rsidR="00852E80">
              <w:rPr>
                <w:sz w:val="20"/>
                <w:szCs w:val="20"/>
              </w:rPr>
              <w:t xml:space="preserve">. </w:t>
            </w:r>
          </w:p>
          <w:p w14:paraId="68D22886" w14:textId="5220668D" w:rsidR="00ED72A6" w:rsidRPr="00BD28AE" w:rsidRDefault="00852E80" w:rsidP="3E627EB8">
            <w:pPr>
              <w:rPr>
                <w:i/>
                <w:iCs/>
                <w:sz w:val="20"/>
                <w:szCs w:val="20"/>
              </w:rPr>
            </w:pPr>
            <w:r>
              <w:rPr>
                <w:i/>
                <w:iCs/>
                <w:sz w:val="20"/>
                <w:szCs w:val="20"/>
              </w:rPr>
              <w:t>Best practice is to have a</w:t>
            </w:r>
            <w:r w:rsidR="63CC382F">
              <w:rPr>
                <w:i/>
                <w:sz w:val="20"/>
                <w:szCs w:val="20"/>
              </w:rPr>
              <w:t xml:space="preserve"> TIA </w:t>
            </w:r>
            <w:r>
              <w:rPr>
                <w:i/>
                <w:iCs/>
                <w:sz w:val="20"/>
                <w:szCs w:val="20"/>
              </w:rPr>
              <w:t xml:space="preserve">teacher </w:t>
            </w:r>
            <w:r w:rsidR="6326F308" w:rsidRPr="5A6D3F26">
              <w:rPr>
                <w:i/>
                <w:iCs/>
                <w:sz w:val="20"/>
                <w:szCs w:val="20"/>
              </w:rPr>
              <w:t>ambassador</w:t>
            </w:r>
            <w:r w:rsidR="63CC382F">
              <w:rPr>
                <w:i/>
                <w:sz w:val="20"/>
                <w:szCs w:val="20"/>
              </w:rPr>
              <w:t xml:space="preserve"> on all applicable campuses</w:t>
            </w:r>
          </w:p>
        </w:tc>
      </w:tr>
      <w:tr w:rsidR="00ED72A6" w:rsidRPr="00ED72A6" w14:paraId="3D566C8F" w14:textId="77777777" w:rsidTr="008D06CD">
        <w:tc>
          <w:tcPr>
            <w:tcW w:w="269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280E25CE" w14:textId="288DBFDC" w:rsidR="00ED72A6" w:rsidRPr="00D62DB6" w:rsidRDefault="00ED72A6" w:rsidP="00D62DB6">
            <w:pPr>
              <w:rPr>
                <w:rFonts w:eastAsiaTheme="minorEastAsia"/>
                <w:b/>
              </w:rPr>
            </w:pPr>
            <w:r w:rsidRPr="00D62DB6">
              <w:rPr>
                <w:b/>
                <w:bCs/>
              </w:rPr>
              <w:t>Use of</w:t>
            </w:r>
            <w:r w:rsidR="70A45AC2" w:rsidRPr="00D62DB6">
              <w:rPr>
                <w:b/>
                <w:bCs/>
              </w:rPr>
              <w:t xml:space="preserve"> Texas Tech Teacher Buy-In Survey</w:t>
            </w:r>
          </w:p>
          <w:p w14:paraId="76320A1D" w14:textId="1199F451" w:rsidR="00ED72A6" w:rsidRPr="00ED72A6" w:rsidRDefault="00ED72A6" w:rsidP="00D62DB6">
            <w:pPr>
              <w:rPr>
                <w:b/>
                <w:bCs/>
              </w:rPr>
            </w:pPr>
          </w:p>
        </w:tc>
        <w:tc>
          <w:tcPr>
            <w:tcW w:w="324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78BAE647" w14:textId="38EA4302" w:rsidR="00ED72A6" w:rsidRPr="00ED72A6" w:rsidRDefault="00ED72A6" w:rsidP="00ED72A6">
            <w:pPr>
              <w:rPr>
                <w:sz w:val="20"/>
                <w:szCs w:val="20"/>
              </w:rPr>
            </w:pPr>
            <w:r w:rsidRPr="00ED72A6">
              <w:rPr>
                <w:sz w:val="20"/>
                <w:szCs w:val="20"/>
              </w:rPr>
              <w:t xml:space="preserve">Very few or no teachers completed the teacher buy-in survey, or </w:t>
            </w:r>
            <w:r w:rsidR="00836EB5" w:rsidRPr="0016653A">
              <w:rPr>
                <w:sz w:val="20"/>
                <w:szCs w:val="20"/>
              </w:rPr>
              <w:t>fewer</w:t>
            </w:r>
            <w:r w:rsidRPr="00ED72A6">
              <w:rPr>
                <w:sz w:val="20"/>
                <w:szCs w:val="20"/>
              </w:rPr>
              <w:t xml:space="preserve"> than half of the teachers surveyed support moving forward</w:t>
            </w:r>
          </w:p>
        </w:tc>
        <w:tc>
          <w:tcPr>
            <w:tcW w:w="333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52139CA" w14:textId="09D360CE" w:rsidR="00ED72A6" w:rsidRPr="00ED72A6" w:rsidRDefault="00ED72A6" w:rsidP="00ED72A6">
            <w:pPr>
              <w:rPr>
                <w:sz w:val="20"/>
                <w:szCs w:val="20"/>
              </w:rPr>
            </w:pPr>
            <w:r w:rsidRPr="00ED72A6">
              <w:rPr>
                <w:sz w:val="20"/>
                <w:szCs w:val="20"/>
              </w:rPr>
              <w:t xml:space="preserve">Some teachers completed the teacher buy-in survey, but the district does not have plans to use the feedback </w:t>
            </w:r>
            <w:r w:rsidR="00767817">
              <w:rPr>
                <w:sz w:val="20"/>
                <w:szCs w:val="20"/>
              </w:rPr>
              <w:t>for</w:t>
            </w:r>
            <w:r w:rsidRPr="00ED72A6">
              <w:rPr>
                <w:sz w:val="20"/>
                <w:szCs w:val="20"/>
              </w:rPr>
              <w:t xml:space="preserve"> continuous improvement </w:t>
            </w:r>
            <w:r w:rsidR="00AC2890" w:rsidRPr="0016653A">
              <w:rPr>
                <w:sz w:val="20"/>
                <w:szCs w:val="20"/>
              </w:rPr>
              <w:t xml:space="preserve">and/or </w:t>
            </w:r>
            <w:r w:rsidR="00836EB5" w:rsidRPr="0016653A">
              <w:rPr>
                <w:sz w:val="20"/>
                <w:szCs w:val="20"/>
              </w:rPr>
              <w:t>only half of the teachers support moving forward</w:t>
            </w: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23ACF597" w14:textId="23F4249D" w:rsidR="00A704E3" w:rsidRPr="00ED4665" w:rsidRDefault="00ED72A6" w:rsidP="00ED72A6">
            <w:pPr>
              <w:rPr>
                <w:sz w:val="20"/>
                <w:szCs w:val="20"/>
              </w:rPr>
            </w:pPr>
            <w:r w:rsidRPr="00ED72A6">
              <w:rPr>
                <w:sz w:val="20"/>
                <w:szCs w:val="20"/>
              </w:rPr>
              <w:t xml:space="preserve">A </w:t>
            </w:r>
            <w:r w:rsidR="007019F1" w:rsidRPr="0016653A">
              <w:rPr>
                <w:sz w:val="20"/>
                <w:szCs w:val="20"/>
              </w:rPr>
              <w:t xml:space="preserve">clear </w:t>
            </w:r>
            <w:r w:rsidRPr="00ED72A6">
              <w:rPr>
                <w:sz w:val="20"/>
                <w:szCs w:val="20"/>
              </w:rPr>
              <w:t>majority of teachers completed the teacher buy-in survey</w:t>
            </w:r>
            <w:r w:rsidR="0087332E" w:rsidRPr="0016653A">
              <w:rPr>
                <w:sz w:val="20"/>
                <w:szCs w:val="20"/>
              </w:rPr>
              <w:t xml:space="preserve"> and</w:t>
            </w:r>
            <w:r w:rsidRPr="00ED72A6">
              <w:rPr>
                <w:sz w:val="20"/>
                <w:szCs w:val="20"/>
              </w:rPr>
              <w:t xml:space="preserve"> support moving forward with the teacher designation system. The district has clear plans to use feedback gathered from the teacher survey as part of a continuous improvement cycle</w:t>
            </w:r>
            <w:r w:rsidR="00F81889">
              <w:rPr>
                <w:sz w:val="20"/>
                <w:szCs w:val="20"/>
              </w:rPr>
              <w:t>.</w:t>
            </w:r>
            <w:r w:rsidR="00A664DF">
              <w:rPr>
                <w:sz w:val="20"/>
                <w:szCs w:val="20"/>
              </w:rPr>
              <w:t xml:space="preserve"> </w:t>
            </w:r>
            <w:r w:rsidR="00BB777A" w:rsidRPr="00F81889">
              <w:rPr>
                <w:sz w:val="20"/>
                <w:szCs w:val="20"/>
              </w:rPr>
              <w:t>District</w:t>
            </w:r>
            <w:r w:rsidR="00F81889">
              <w:rPr>
                <w:sz w:val="20"/>
                <w:szCs w:val="20"/>
              </w:rPr>
              <w:t xml:space="preserve"> has shared or</w:t>
            </w:r>
            <w:r w:rsidR="00BB777A" w:rsidRPr="00F81889">
              <w:rPr>
                <w:sz w:val="20"/>
                <w:szCs w:val="20"/>
              </w:rPr>
              <w:t xml:space="preserve"> plan</w:t>
            </w:r>
            <w:r w:rsidR="00F81889" w:rsidRPr="00F81889">
              <w:rPr>
                <w:sz w:val="20"/>
                <w:szCs w:val="20"/>
              </w:rPr>
              <w:t>s</w:t>
            </w:r>
            <w:r w:rsidRPr="00F81889">
              <w:rPr>
                <w:sz w:val="20"/>
                <w:szCs w:val="20"/>
              </w:rPr>
              <w:t xml:space="preserve"> to share survey results with teachers</w:t>
            </w:r>
            <w:r w:rsidR="00FD542C" w:rsidRPr="00F81889">
              <w:rPr>
                <w:sz w:val="20"/>
                <w:szCs w:val="20"/>
              </w:rPr>
              <w:t xml:space="preserve"> and other stakeholders</w:t>
            </w:r>
          </w:p>
        </w:tc>
      </w:tr>
    </w:tbl>
    <w:p w14:paraId="5EEF9ECF" w14:textId="77777777" w:rsidR="00D62DB6" w:rsidRDefault="00D62DB6" w:rsidP="00ED72A6">
      <w:pPr>
        <w:spacing w:after="0"/>
        <w:rPr>
          <w:i/>
          <w:iCs/>
          <w:sz w:val="24"/>
          <w:szCs w:val="24"/>
        </w:rPr>
      </w:pPr>
      <w:bookmarkStart w:id="1" w:name="_Hlk31030429"/>
    </w:p>
    <w:p w14:paraId="5536F062" w14:textId="77777777" w:rsidR="00D62DB6" w:rsidRDefault="00D62DB6" w:rsidP="00ED72A6">
      <w:pPr>
        <w:spacing w:after="0"/>
        <w:rPr>
          <w:i/>
          <w:iCs/>
          <w:sz w:val="24"/>
          <w:szCs w:val="24"/>
        </w:rPr>
      </w:pPr>
    </w:p>
    <w:p w14:paraId="14C95311" w14:textId="77777777" w:rsidR="00D62DB6" w:rsidRDefault="00D62DB6" w:rsidP="00ED72A6">
      <w:pPr>
        <w:spacing w:after="0"/>
        <w:rPr>
          <w:i/>
          <w:iCs/>
          <w:sz w:val="24"/>
          <w:szCs w:val="24"/>
        </w:rPr>
      </w:pPr>
    </w:p>
    <w:p w14:paraId="15881927" w14:textId="77777777" w:rsidR="00D62DB6" w:rsidRDefault="00D62DB6" w:rsidP="00ED72A6">
      <w:pPr>
        <w:spacing w:after="0"/>
        <w:rPr>
          <w:i/>
          <w:iCs/>
          <w:sz w:val="24"/>
          <w:szCs w:val="24"/>
        </w:rPr>
      </w:pPr>
    </w:p>
    <w:p w14:paraId="3B02A98B" w14:textId="77777777" w:rsidR="00D62DB6" w:rsidRDefault="00D62DB6" w:rsidP="00ED72A6">
      <w:pPr>
        <w:spacing w:after="0"/>
        <w:rPr>
          <w:i/>
          <w:iCs/>
          <w:sz w:val="24"/>
          <w:szCs w:val="24"/>
        </w:rPr>
      </w:pPr>
    </w:p>
    <w:p w14:paraId="5A924A11" w14:textId="0383082F" w:rsidR="00D62DB6" w:rsidRDefault="00D62DB6" w:rsidP="00ED72A6">
      <w:pPr>
        <w:spacing w:after="0"/>
        <w:rPr>
          <w:i/>
          <w:iCs/>
          <w:sz w:val="24"/>
          <w:szCs w:val="24"/>
        </w:rPr>
      </w:pPr>
    </w:p>
    <w:p w14:paraId="54DDB862" w14:textId="58F7621D" w:rsidR="00AC63FB" w:rsidRDefault="00AC63FB" w:rsidP="00ED72A6">
      <w:pPr>
        <w:spacing w:after="0"/>
        <w:rPr>
          <w:i/>
          <w:iCs/>
          <w:sz w:val="24"/>
          <w:szCs w:val="24"/>
        </w:rPr>
      </w:pPr>
    </w:p>
    <w:p w14:paraId="257BDC90" w14:textId="77777777" w:rsidR="00AC63FB" w:rsidRDefault="00AC63FB" w:rsidP="00ED72A6">
      <w:pPr>
        <w:spacing w:after="0"/>
        <w:rPr>
          <w:i/>
          <w:iCs/>
          <w:sz w:val="24"/>
          <w:szCs w:val="24"/>
        </w:rPr>
      </w:pPr>
    </w:p>
    <w:p w14:paraId="0D390844" w14:textId="77777777" w:rsidR="00D62DB6" w:rsidRDefault="00D62DB6" w:rsidP="00ED72A6">
      <w:pPr>
        <w:spacing w:after="0"/>
        <w:rPr>
          <w:i/>
          <w:iCs/>
          <w:sz w:val="24"/>
          <w:szCs w:val="24"/>
        </w:rPr>
      </w:pPr>
    </w:p>
    <w:p w14:paraId="378F8776" w14:textId="12988F17" w:rsidR="00ED72A6" w:rsidRPr="00D62DB6" w:rsidRDefault="00ED72A6" w:rsidP="00ED72A6">
      <w:pPr>
        <w:spacing w:after="0"/>
        <w:rPr>
          <w:b/>
          <w:bCs/>
          <w:sz w:val="24"/>
          <w:szCs w:val="24"/>
        </w:rPr>
      </w:pPr>
      <w:r w:rsidRPr="00D62DB6">
        <w:rPr>
          <w:b/>
          <w:bCs/>
          <w:sz w:val="24"/>
          <w:szCs w:val="24"/>
        </w:rPr>
        <w:t>Best practices for all “Full Readiness” descriptors highly encouraged</w:t>
      </w:r>
    </w:p>
    <w:bookmarkEnd w:id="1"/>
    <w:p w14:paraId="4AFF6D1E" w14:textId="5506F92D" w:rsidR="00ED72A6" w:rsidRPr="00ED72A6" w:rsidRDefault="00ED72A6" w:rsidP="00ED72A6">
      <w:pPr>
        <w:spacing w:after="0"/>
        <w:rPr>
          <w:sz w:val="24"/>
          <w:szCs w:val="24"/>
        </w:rPr>
      </w:pPr>
      <w:r w:rsidRPr="00ED72A6">
        <w:rPr>
          <w:sz w:val="24"/>
          <w:szCs w:val="24"/>
        </w:rPr>
        <w:t>Spending Plan</w:t>
      </w:r>
    </w:p>
    <w:p w14:paraId="4409F87B" w14:textId="77777777" w:rsidR="00ED72A6" w:rsidRPr="00ED72A6" w:rsidRDefault="00ED72A6" w:rsidP="00ED72A6">
      <w:pPr>
        <w:spacing w:after="0"/>
        <w:rPr>
          <w:sz w:val="24"/>
          <w:szCs w:val="24"/>
        </w:rPr>
      </w:pPr>
    </w:p>
    <w:tbl>
      <w:tblPr>
        <w:tblStyle w:val="TableGrid"/>
        <w:tblW w:w="14665" w:type="dxa"/>
        <w:tblLook w:val="04A0" w:firstRow="1" w:lastRow="0" w:firstColumn="1" w:lastColumn="0" w:noHBand="0" w:noVBand="1"/>
      </w:tblPr>
      <w:tblGrid>
        <w:gridCol w:w="2425"/>
        <w:gridCol w:w="3780"/>
        <w:gridCol w:w="3060"/>
        <w:gridCol w:w="5400"/>
      </w:tblGrid>
      <w:tr w:rsidR="00ED72A6" w:rsidRPr="00ED72A6" w14:paraId="6786D24C" w14:textId="77777777" w:rsidTr="008D06CD">
        <w:tc>
          <w:tcPr>
            <w:tcW w:w="2425" w:type="dxa"/>
            <w:tcBorders>
              <w:top w:val="single" w:sz="4" w:space="0" w:color="FFFFFF"/>
              <w:bottom w:val="single" w:sz="4" w:space="0" w:color="FFFFFF"/>
              <w:right w:val="single" w:sz="4" w:space="0" w:color="FFFFFF"/>
            </w:tcBorders>
            <w:shd w:val="clear" w:color="auto" w:fill="0D6CB9" w:themeFill="text2"/>
          </w:tcPr>
          <w:p w14:paraId="4D8E65B1" w14:textId="77777777" w:rsidR="00ED72A6" w:rsidRPr="00ED72A6" w:rsidRDefault="00ED72A6" w:rsidP="00ED72A6">
            <w:pPr>
              <w:rPr>
                <w:b/>
                <w:bCs/>
                <w:sz w:val="24"/>
                <w:szCs w:val="24"/>
              </w:rPr>
            </w:pPr>
            <w:r w:rsidRPr="008D06CD">
              <w:rPr>
                <w:b/>
                <w:bCs/>
                <w:color w:val="FFFFFF" w:themeColor="background1"/>
                <w:sz w:val="24"/>
                <w:szCs w:val="24"/>
              </w:rPr>
              <w:t>Component</w:t>
            </w:r>
          </w:p>
        </w:tc>
        <w:tc>
          <w:tcPr>
            <w:tcW w:w="3780" w:type="dxa"/>
            <w:tcBorders>
              <w:top w:val="single" w:sz="4" w:space="0" w:color="FFFFFF"/>
              <w:left w:val="single" w:sz="4" w:space="0" w:color="FFFFFF"/>
              <w:bottom w:val="single" w:sz="4" w:space="0" w:color="FFFFFF"/>
              <w:right w:val="single" w:sz="4" w:space="0" w:color="FFFFFF"/>
            </w:tcBorders>
            <w:shd w:val="clear" w:color="auto" w:fill="F16038" w:themeFill="accent2"/>
          </w:tcPr>
          <w:p w14:paraId="6AE01D6D" w14:textId="77777777" w:rsidR="00ED72A6" w:rsidRPr="00196AA2" w:rsidRDefault="00ED72A6" w:rsidP="00ED72A6">
            <w:pPr>
              <w:rPr>
                <w:b/>
                <w:bCs/>
                <w:color w:val="FFFFFF" w:themeColor="background1"/>
                <w:sz w:val="24"/>
                <w:szCs w:val="24"/>
              </w:rPr>
            </w:pPr>
            <w:r w:rsidRPr="00663B4C">
              <w:rPr>
                <w:b/>
                <w:bCs/>
                <w:color w:val="242424" w:themeColor="text1"/>
                <w:sz w:val="24"/>
                <w:szCs w:val="24"/>
              </w:rPr>
              <w:t>Limited or no Readiness</w:t>
            </w:r>
          </w:p>
        </w:tc>
        <w:tc>
          <w:tcPr>
            <w:tcW w:w="3060" w:type="dxa"/>
            <w:tcBorders>
              <w:top w:val="single" w:sz="4" w:space="0" w:color="FFFFFF"/>
              <w:left w:val="single" w:sz="4" w:space="0" w:color="FFFFFF"/>
              <w:bottom w:val="single" w:sz="4" w:space="0" w:color="FFFFFF"/>
              <w:right w:val="single" w:sz="4" w:space="0" w:color="FFFFFF"/>
            </w:tcBorders>
            <w:shd w:val="clear" w:color="auto" w:fill="F8CC2A" w:themeFill="accent6"/>
          </w:tcPr>
          <w:p w14:paraId="32D5CE8B" w14:textId="77777777" w:rsidR="00ED72A6" w:rsidRPr="00ED72A6" w:rsidRDefault="00ED72A6" w:rsidP="00ED72A6">
            <w:pPr>
              <w:rPr>
                <w:b/>
                <w:bCs/>
                <w:sz w:val="24"/>
                <w:szCs w:val="24"/>
              </w:rPr>
            </w:pPr>
            <w:r w:rsidRPr="00ED72A6">
              <w:rPr>
                <w:b/>
                <w:bCs/>
                <w:sz w:val="24"/>
                <w:szCs w:val="24"/>
              </w:rPr>
              <w:t>Partial Readiness</w:t>
            </w:r>
          </w:p>
        </w:tc>
        <w:tc>
          <w:tcPr>
            <w:tcW w:w="5400" w:type="dxa"/>
            <w:tcBorders>
              <w:top w:val="single" w:sz="4" w:space="0" w:color="FFFFFF"/>
              <w:left w:val="single" w:sz="4" w:space="0" w:color="FFFFFF"/>
              <w:bottom w:val="single" w:sz="4" w:space="0" w:color="FFFFFF"/>
            </w:tcBorders>
            <w:shd w:val="clear" w:color="auto" w:fill="92C841" w:themeFill="accent3"/>
          </w:tcPr>
          <w:p w14:paraId="4F616C5C" w14:textId="77777777" w:rsidR="00ED72A6" w:rsidRPr="00ED72A6" w:rsidRDefault="00ED72A6" w:rsidP="00ED72A6">
            <w:pPr>
              <w:rPr>
                <w:b/>
                <w:bCs/>
                <w:sz w:val="24"/>
                <w:szCs w:val="24"/>
              </w:rPr>
            </w:pPr>
            <w:r w:rsidRPr="00ED72A6">
              <w:rPr>
                <w:b/>
                <w:bCs/>
                <w:sz w:val="24"/>
                <w:szCs w:val="24"/>
              </w:rPr>
              <w:t xml:space="preserve">Full Readiness </w:t>
            </w:r>
          </w:p>
        </w:tc>
      </w:tr>
      <w:tr w:rsidR="00860128" w:rsidRPr="00ED72A6" w14:paraId="7216F1F4" w14:textId="77777777" w:rsidTr="008D06CD">
        <w:tc>
          <w:tcPr>
            <w:tcW w:w="242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2E755C22" w14:textId="3651CA64" w:rsidR="00860128" w:rsidRPr="00F216EE" w:rsidRDefault="00860128" w:rsidP="00F216EE">
            <w:pPr>
              <w:rPr>
                <w:b/>
                <w:bCs/>
              </w:rPr>
            </w:pPr>
            <w:r w:rsidRPr="00F216EE">
              <w:rPr>
                <w:b/>
                <w:bCs/>
              </w:rPr>
              <w:t>TIA funds spent on teacher compensation</w:t>
            </w:r>
            <w:r w:rsidR="00813E8C" w:rsidRPr="00F216EE">
              <w:rPr>
                <w:b/>
                <w:bCs/>
              </w:rPr>
              <w:t xml:space="preserve"> and on district support for TIA (if applicable</w:t>
            </w:r>
            <w:r w:rsidR="001708F8" w:rsidRPr="00F216EE">
              <w:rPr>
                <w:b/>
                <w:bCs/>
              </w:rPr>
              <w:t>)</w:t>
            </w:r>
          </w:p>
          <w:p w14:paraId="7AFB1A6A" w14:textId="0C1CC923" w:rsidR="00860128" w:rsidRPr="00ED72A6" w:rsidRDefault="00860128" w:rsidP="00F216EE">
            <w:pPr>
              <w:rPr>
                <w:b/>
                <w:bCs/>
              </w:rPr>
            </w:pPr>
          </w:p>
        </w:tc>
        <w:tc>
          <w:tcPr>
            <w:tcW w:w="378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0E315A2F" w14:textId="5E997188" w:rsidR="00860128" w:rsidRPr="00ED72A6" w:rsidRDefault="00860128" w:rsidP="00860128">
            <w:pPr>
              <w:rPr>
                <w:sz w:val="20"/>
                <w:szCs w:val="20"/>
              </w:rPr>
            </w:pPr>
            <w:r w:rsidRPr="00ED72A6">
              <w:rPr>
                <w:sz w:val="20"/>
                <w:szCs w:val="20"/>
              </w:rPr>
              <w:t>District cannot verify that it spends at least 90% of TIA funds received on teacher compensation on the campuses where the designated teachers work</w:t>
            </w:r>
            <w:r w:rsidR="00715362">
              <w:rPr>
                <w:sz w:val="20"/>
                <w:szCs w:val="20"/>
              </w:rPr>
              <w:t xml:space="preserve"> and/or funds are distributed to</w:t>
            </w:r>
            <w:r w:rsidR="00DE1118">
              <w:rPr>
                <w:sz w:val="20"/>
                <w:szCs w:val="20"/>
              </w:rPr>
              <w:t xml:space="preserve"> </w:t>
            </w:r>
            <w:r w:rsidR="009C6CE1">
              <w:rPr>
                <w:sz w:val="20"/>
                <w:szCs w:val="20"/>
              </w:rPr>
              <w:t>employees who are not teachers</w:t>
            </w:r>
            <w:r w:rsidR="001708F8">
              <w:rPr>
                <w:sz w:val="20"/>
                <w:szCs w:val="20"/>
              </w:rPr>
              <w:t xml:space="preserve">. </w:t>
            </w:r>
            <w:r w:rsidR="001708F8" w:rsidRPr="00ED72A6">
              <w:rPr>
                <w:sz w:val="20"/>
                <w:szCs w:val="20"/>
              </w:rPr>
              <w:t>District cannot verify that it spends no more than 10% of TIA funds received on district support for TIA</w:t>
            </w:r>
          </w:p>
        </w:tc>
        <w:tc>
          <w:tcPr>
            <w:tcW w:w="306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65D725A" w14:textId="58799AE1" w:rsidR="00860128" w:rsidRPr="00ED72A6" w:rsidRDefault="00860128" w:rsidP="00860128">
            <w:pPr>
              <w:rPr>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0B88E236" w14:textId="29AEAD6F" w:rsidR="00860128" w:rsidRPr="00246CE7" w:rsidRDefault="00860128" w:rsidP="00860128">
            <w:pPr>
              <w:rPr>
                <w:sz w:val="20"/>
                <w:szCs w:val="20"/>
              </w:rPr>
            </w:pPr>
            <w:r w:rsidRPr="00ED72A6">
              <w:rPr>
                <w:sz w:val="20"/>
                <w:szCs w:val="20"/>
              </w:rPr>
              <w:t>District spends at least 90% of TIA funds on teacher compensation on the campuses where the designated teachers wor</w:t>
            </w:r>
            <w:r>
              <w:rPr>
                <w:sz w:val="20"/>
                <w:szCs w:val="20"/>
              </w:rPr>
              <w:t>k</w:t>
            </w:r>
            <w:r w:rsidR="001708F8">
              <w:rPr>
                <w:sz w:val="20"/>
                <w:szCs w:val="20"/>
              </w:rPr>
              <w:t xml:space="preserve">. </w:t>
            </w:r>
            <w:r w:rsidR="001708F8" w:rsidRPr="00ED72A6">
              <w:rPr>
                <w:sz w:val="20"/>
                <w:szCs w:val="20"/>
              </w:rPr>
              <w:t>District spends no more than 10% of TIA funds at the district level to support rollout and implementation of TIA</w:t>
            </w:r>
          </w:p>
          <w:p w14:paraId="1D5ADE80" w14:textId="77777777" w:rsidR="00860128" w:rsidRDefault="00860128" w:rsidP="00860128">
            <w:pPr>
              <w:rPr>
                <w:i/>
                <w:iCs/>
                <w:sz w:val="20"/>
                <w:szCs w:val="20"/>
              </w:rPr>
            </w:pPr>
          </w:p>
          <w:p w14:paraId="19F89FCB" w14:textId="475CEF8C" w:rsidR="00860128" w:rsidRPr="4985CC28" w:rsidRDefault="00655BE1" w:rsidP="00860128">
            <w:pPr>
              <w:rPr>
                <w:sz w:val="20"/>
                <w:szCs w:val="20"/>
              </w:rPr>
            </w:pPr>
            <w:r w:rsidRPr="006C1A94">
              <w:t xml:space="preserve">Compliance with </w:t>
            </w:r>
            <w:r w:rsidRPr="006C1A94">
              <w:rPr>
                <w:rFonts w:cstheme="minorHAnsi"/>
              </w:rPr>
              <w:t>§</w:t>
            </w:r>
            <w:r w:rsidRPr="006C1A94">
              <w:t>48.112 is required for full readiness</w:t>
            </w:r>
          </w:p>
        </w:tc>
      </w:tr>
      <w:tr w:rsidR="00697CD3" w:rsidRPr="00ED72A6" w14:paraId="57B98E6F" w14:textId="77777777" w:rsidTr="008D06CD">
        <w:tc>
          <w:tcPr>
            <w:tcW w:w="242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32F45B7A" w14:textId="5887326A" w:rsidR="00697CD3" w:rsidRPr="00F216EE" w:rsidRDefault="00697CD3" w:rsidP="00F216EE">
            <w:pPr>
              <w:rPr>
                <w:b/>
                <w:bCs/>
              </w:rPr>
            </w:pPr>
            <w:r w:rsidRPr="00F216EE">
              <w:rPr>
                <w:b/>
                <w:bCs/>
              </w:rPr>
              <w:t>Distribution plan for allotment funds</w:t>
            </w:r>
          </w:p>
        </w:tc>
        <w:tc>
          <w:tcPr>
            <w:tcW w:w="378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63662731" w14:textId="55A5FC86" w:rsidR="00697CD3" w:rsidRPr="00ED72A6" w:rsidRDefault="00697CD3" w:rsidP="00697CD3">
            <w:pPr>
              <w:rPr>
                <w:sz w:val="20"/>
                <w:szCs w:val="20"/>
              </w:rPr>
            </w:pPr>
            <w:r w:rsidRPr="00ED72A6">
              <w:rPr>
                <w:sz w:val="20"/>
                <w:szCs w:val="20"/>
              </w:rPr>
              <w:t>District does not specify how TIA funds will be distributed on all applicable campuses and/or plan to spend funds was made in isolation with no stakeholder input</w:t>
            </w:r>
          </w:p>
        </w:tc>
        <w:tc>
          <w:tcPr>
            <w:tcW w:w="306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60FA74C4" w14:textId="785257C7" w:rsidR="00697CD3" w:rsidRPr="00ED72A6" w:rsidRDefault="00697CD3" w:rsidP="00697CD3">
            <w:pPr>
              <w:rPr>
                <w:sz w:val="20"/>
                <w:szCs w:val="20"/>
              </w:rPr>
            </w:pPr>
            <w:r w:rsidRPr="00ED72A6">
              <w:rPr>
                <w:sz w:val="20"/>
                <w:szCs w:val="20"/>
              </w:rPr>
              <w:t xml:space="preserve">District has a general framework for how to distribute funds, but has not determined the specific breakdown for each applicable campus and has not created resources to communicate the plan </w:t>
            </w: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035E679C" w14:textId="15F46433" w:rsidR="00697CD3" w:rsidRPr="00ED72A6" w:rsidRDefault="00697CD3" w:rsidP="00697CD3">
            <w:pPr>
              <w:rPr>
                <w:sz w:val="20"/>
                <w:szCs w:val="20"/>
              </w:rPr>
            </w:pPr>
            <w:r w:rsidRPr="00ED72A6">
              <w:rPr>
                <w:sz w:val="20"/>
                <w:szCs w:val="20"/>
              </w:rPr>
              <w:t xml:space="preserve">District publishes clear explanation of how TIA funds will be allocated for all applicable campuses, including specifying what percent of the funds go to designated teachers and what percent goes to other teachers on that campus. Development of the spending plan had stakeholder input, including teachers. Teachers are trained on </w:t>
            </w:r>
            <w:r w:rsidR="008319A9">
              <w:rPr>
                <w:sz w:val="20"/>
                <w:szCs w:val="20"/>
              </w:rPr>
              <w:t>the details of the spending plan</w:t>
            </w:r>
            <w:r w:rsidR="008F66C9">
              <w:rPr>
                <w:sz w:val="20"/>
                <w:szCs w:val="20"/>
              </w:rPr>
              <w:t>.</w:t>
            </w:r>
          </w:p>
        </w:tc>
      </w:tr>
      <w:tr w:rsidR="00870ED0" w:rsidRPr="00ED72A6" w14:paraId="1AC16A8A" w14:textId="77777777" w:rsidTr="008D06CD">
        <w:tc>
          <w:tcPr>
            <w:tcW w:w="242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3A3E9563" w14:textId="05F49E2F" w:rsidR="00870ED0" w:rsidRPr="00F216EE" w:rsidRDefault="00CB5147" w:rsidP="00F216EE">
            <w:pPr>
              <w:rPr>
                <w:b/>
                <w:bCs/>
              </w:rPr>
            </w:pPr>
            <w:r w:rsidRPr="00F216EE">
              <w:rPr>
                <w:b/>
                <w:bCs/>
              </w:rPr>
              <w:t>General Spending Plan</w:t>
            </w:r>
          </w:p>
          <w:p w14:paraId="0DF5C066" w14:textId="77777777" w:rsidR="00870ED0" w:rsidRPr="00ED72A6" w:rsidRDefault="00870ED0" w:rsidP="00F216EE">
            <w:pPr>
              <w:rPr>
                <w:b/>
                <w:bCs/>
              </w:rPr>
            </w:pPr>
          </w:p>
          <w:p w14:paraId="27E2BCD5" w14:textId="3611B783" w:rsidR="00870ED0" w:rsidRPr="00ED72A6" w:rsidRDefault="00870ED0" w:rsidP="00F216EE">
            <w:pPr>
              <w:rPr>
                <w:i/>
                <w:iCs/>
              </w:rPr>
            </w:pPr>
          </w:p>
        </w:tc>
        <w:tc>
          <w:tcPr>
            <w:tcW w:w="378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4072FE90" w14:textId="77777777" w:rsidR="00870ED0" w:rsidRPr="00ED72A6" w:rsidRDefault="00870ED0" w:rsidP="00870ED0">
            <w:pPr>
              <w:rPr>
                <w:sz w:val="20"/>
                <w:szCs w:val="20"/>
              </w:rPr>
            </w:pPr>
            <w:r w:rsidRPr="00ED72A6">
              <w:rPr>
                <w:sz w:val="20"/>
                <w:szCs w:val="20"/>
              </w:rPr>
              <w:t>There is no clear plan explaining how TIA funds will work in conjunction with the district’s current strategic compensation plan. The majority of teachers do not understand how TIA will affect their compensation.</w:t>
            </w:r>
          </w:p>
        </w:tc>
        <w:tc>
          <w:tcPr>
            <w:tcW w:w="306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69CA338" w14:textId="77777777" w:rsidR="00870ED0" w:rsidRPr="00ED72A6" w:rsidRDefault="00870ED0" w:rsidP="00870ED0">
            <w:pPr>
              <w:rPr>
                <w:sz w:val="20"/>
                <w:szCs w:val="20"/>
              </w:rPr>
            </w:pPr>
            <w:r w:rsidRPr="00ED72A6">
              <w:rPr>
                <w:sz w:val="20"/>
                <w:szCs w:val="20"/>
              </w:rPr>
              <w:t>District leadership has begun to create a plan for how TIA funds will work in conjunction with their current strategic compensation plan, but details have not been finalized. District has not received stakeholder input on the plan nor has the plan been communicated</w:t>
            </w: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19CE4F35" w14:textId="18C24D8E" w:rsidR="00870ED0" w:rsidRPr="00B959FB" w:rsidRDefault="00870ED0" w:rsidP="00870ED0">
            <w:pPr>
              <w:rPr>
                <w:sz w:val="20"/>
                <w:szCs w:val="20"/>
              </w:rPr>
            </w:pPr>
            <w:r w:rsidRPr="4985CC28">
              <w:rPr>
                <w:sz w:val="20"/>
                <w:szCs w:val="20"/>
              </w:rPr>
              <w:t xml:space="preserve">District has a clear, written plan for how TIA funds will </w:t>
            </w:r>
            <w:r w:rsidR="00F0378B">
              <w:rPr>
                <w:sz w:val="20"/>
                <w:szCs w:val="20"/>
              </w:rPr>
              <w:t>be allocated</w:t>
            </w:r>
            <w:r w:rsidR="001E0976">
              <w:rPr>
                <w:sz w:val="20"/>
                <w:szCs w:val="20"/>
              </w:rPr>
              <w:t xml:space="preserve"> that</w:t>
            </w:r>
            <w:r w:rsidR="00697CD3" w:rsidRPr="4985CC28">
              <w:rPr>
                <w:sz w:val="20"/>
                <w:szCs w:val="20"/>
              </w:rPr>
              <w:t xml:space="preserve"> </w:t>
            </w:r>
            <w:r w:rsidRPr="4985CC28">
              <w:rPr>
                <w:sz w:val="20"/>
                <w:szCs w:val="20"/>
              </w:rPr>
              <w:t xml:space="preserve">is readily accessible to teachers. </w:t>
            </w:r>
            <w:r w:rsidRPr="00B959FB">
              <w:rPr>
                <w:sz w:val="20"/>
                <w:szCs w:val="20"/>
              </w:rPr>
              <w:t>Clear resources, including visual aids, are made available that explain</w:t>
            </w:r>
            <w:r w:rsidR="00F013CD">
              <w:rPr>
                <w:sz w:val="20"/>
                <w:szCs w:val="20"/>
              </w:rPr>
              <w:t xml:space="preserve"> the district spending plan including when and how teachers will receive</w:t>
            </w:r>
            <w:r w:rsidR="006C1A94">
              <w:rPr>
                <w:sz w:val="20"/>
                <w:szCs w:val="20"/>
              </w:rPr>
              <w:t xml:space="preserve"> TIA funds</w:t>
            </w:r>
            <w:r w:rsidR="007C7BBB">
              <w:rPr>
                <w:sz w:val="20"/>
                <w:szCs w:val="20"/>
              </w:rPr>
              <w:t>. Process for when and how teachers will receive</w:t>
            </w:r>
            <w:r w:rsidR="009A7551">
              <w:rPr>
                <w:sz w:val="20"/>
                <w:szCs w:val="20"/>
              </w:rPr>
              <w:t xml:space="preserve"> TIA funds </w:t>
            </w:r>
            <w:r w:rsidR="006E039C">
              <w:rPr>
                <w:sz w:val="20"/>
                <w:szCs w:val="20"/>
              </w:rPr>
              <w:t>was developed with input from teachers</w:t>
            </w:r>
            <w:r w:rsidR="00D5290A">
              <w:rPr>
                <w:sz w:val="20"/>
                <w:szCs w:val="20"/>
              </w:rPr>
              <w:t xml:space="preserve"> and other stakeholders. </w:t>
            </w:r>
            <w:r w:rsidR="00B9093C">
              <w:rPr>
                <w:sz w:val="20"/>
                <w:szCs w:val="20"/>
              </w:rPr>
              <w:t>District has a clear plan</w:t>
            </w:r>
            <w:r w:rsidR="005C57A4">
              <w:rPr>
                <w:sz w:val="20"/>
                <w:szCs w:val="20"/>
              </w:rPr>
              <w:t xml:space="preserve"> to communicate</w:t>
            </w:r>
            <w:r w:rsidR="00B87796">
              <w:rPr>
                <w:sz w:val="20"/>
                <w:szCs w:val="20"/>
              </w:rPr>
              <w:t xml:space="preserve"> the local teacher designation system and spending plan to new hires.</w:t>
            </w:r>
            <w:r w:rsidR="003A15C2">
              <w:rPr>
                <w:sz w:val="20"/>
                <w:szCs w:val="20"/>
              </w:rPr>
              <w:t xml:space="preserve"> </w:t>
            </w:r>
            <w:r w:rsidR="003A15C2">
              <w:rPr>
                <w:sz w:val="20"/>
                <w:szCs w:val="20"/>
              </w:rPr>
              <w:lastRenderedPageBreak/>
              <w:t>District has clear plan for</w:t>
            </w:r>
            <w:r w:rsidR="00E03D44">
              <w:rPr>
                <w:sz w:val="20"/>
                <w:szCs w:val="20"/>
              </w:rPr>
              <w:t xml:space="preserve"> how to allocate TIA funds to teachers who earned design</w:t>
            </w:r>
            <w:r w:rsidR="00453CBA">
              <w:rPr>
                <w:sz w:val="20"/>
                <w:szCs w:val="20"/>
              </w:rPr>
              <w:t>ations</w:t>
            </w:r>
            <w:r w:rsidR="00E877A5">
              <w:rPr>
                <w:sz w:val="20"/>
                <w:szCs w:val="20"/>
              </w:rPr>
              <w:t xml:space="preserve"> in </w:t>
            </w:r>
            <w:r w:rsidR="00061B73">
              <w:rPr>
                <w:sz w:val="20"/>
                <w:szCs w:val="20"/>
              </w:rPr>
              <w:t>a different district.</w:t>
            </w:r>
          </w:p>
        </w:tc>
      </w:tr>
      <w:tr w:rsidR="00870ED0" w:rsidRPr="00ED72A6" w14:paraId="0DCEDD78" w14:textId="77777777" w:rsidTr="008D06CD">
        <w:tc>
          <w:tcPr>
            <w:tcW w:w="2425" w:type="dxa"/>
            <w:tcBorders>
              <w:top w:val="single" w:sz="4" w:space="0" w:color="FFFFFF"/>
              <w:left w:val="single" w:sz="4" w:space="0" w:color="FFFFFF"/>
              <w:bottom w:val="nil"/>
              <w:right w:val="single" w:sz="4" w:space="0" w:color="FFFFFF"/>
            </w:tcBorders>
            <w:shd w:val="clear" w:color="auto" w:fill="DEEAF6" w:themeFill="accent5" w:themeFillTint="33"/>
          </w:tcPr>
          <w:p w14:paraId="56A9C081" w14:textId="3B2BDC2B" w:rsidR="00870ED0" w:rsidRPr="00F216EE" w:rsidRDefault="00870ED0" w:rsidP="00F216EE">
            <w:pPr>
              <w:rPr>
                <w:b/>
                <w:bCs/>
              </w:rPr>
            </w:pPr>
            <w:r w:rsidRPr="00F216EE">
              <w:rPr>
                <w:b/>
                <w:bCs/>
              </w:rPr>
              <w:lastRenderedPageBreak/>
              <w:t>School Board approval budget with TIA</w:t>
            </w:r>
            <w:r w:rsidR="00294EFC" w:rsidRPr="00F216EE">
              <w:rPr>
                <w:b/>
                <w:bCs/>
              </w:rPr>
              <w:t xml:space="preserve"> compensation</w:t>
            </w:r>
          </w:p>
        </w:tc>
        <w:tc>
          <w:tcPr>
            <w:tcW w:w="3780" w:type="dxa"/>
            <w:tcBorders>
              <w:top w:val="single" w:sz="4" w:space="0" w:color="FFFFFF"/>
              <w:left w:val="single" w:sz="4" w:space="0" w:color="FFFFFF"/>
              <w:bottom w:val="nil"/>
              <w:right w:val="single" w:sz="4" w:space="0" w:color="FFFFFF"/>
            </w:tcBorders>
            <w:shd w:val="clear" w:color="auto" w:fill="FCDFD7" w:themeFill="accent2" w:themeFillTint="33"/>
          </w:tcPr>
          <w:p w14:paraId="494AFD9D" w14:textId="3F1D2B26" w:rsidR="00870ED0" w:rsidRPr="00ED72A6" w:rsidRDefault="000A7B29" w:rsidP="00870ED0">
            <w:pPr>
              <w:rPr>
                <w:sz w:val="20"/>
                <w:szCs w:val="20"/>
              </w:rPr>
            </w:pPr>
            <w:r>
              <w:rPr>
                <w:sz w:val="20"/>
                <w:szCs w:val="20"/>
              </w:rPr>
              <w:t xml:space="preserve">There is no indication that the school board is aware of the funding/spending implications of TIA </w:t>
            </w:r>
          </w:p>
        </w:tc>
        <w:tc>
          <w:tcPr>
            <w:tcW w:w="3060" w:type="dxa"/>
            <w:tcBorders>
              <w:top w:val="single" w:sz="4" w:space="0" w:color="FFFFFF"/>
              <w:left w:val="single" w:sz="4" w:space="0" w:color="FFFFFF"/>
              <w:bottom w:val="nil"/>
              <w:right w:val="single" w:sz="4" w:space="0" w:color="FFFFFF"/>
            </w:tcBorders>
            <w:shd w:val="clear" w:color="auto" w:fill="FDF4D4" w:themeFill="accent6" w:themeFillTint="33"/>
          </w:tcPr>
          <w:p w14:paraId="5CF04753" w14:textId="7931C7AE" w:rsidR="00870ED0" w:rsidRPr="00ED72A6" w:rsidRDefault="00870ED0" w:rsidP="00870ED0">
            <w:pPr>
              <w:rPr>
                <w:sz w:val="20"/>
                <w:szCs w:val="20"/>
              </w:rPr>
            </w:pPr>
            <w:r w:rsidRPr="00AE7B9E">
              <w:rPr>
                <w:sz w:val="20"/>
                <w:szCs w:val="20"/>
              </w:rPr>
              <w:t xml:space="preserve">School board </w:t>
            </w:r>
            <w:r w:rsidR="002D59CF">
              <w:rPr>
                <w:sz w:val="20"/>
                <w:szCs w:val="20"/>
              </w:rPr>
              <w:t>has discussed TIA in general, but has not set a date to approve a budget that includes expenditure of TIA funds</w:t>
            </w:r>
          </w:p>
        </w:tc>
        <w:tc>
          <w:tcPr>
            <w:tcW w:w="5400" w:type="dxa"/>
            <w:tcBorders>
              <w:top w:val="single" w:sz="4" w:space="0" w:color="FFFFFF"/>
              <w:left w:val="single" w:sz="4" w:space="0" w:color="FFFFFF"/>
              <w:bottom w:val="nil"/>
              <w:right w:val="single" w:sz="4" w:space="0" w:color="FFFFFF"/>
            </w:tcBorders>
            <w:shd w:val="clear" w:color="auto" w:fill="E9F4D9" w:themeFill="accent3" w:themeFillTint="33"/>
          </w:tcPr>
          <w:p w14:paraId="08ED2C73" w14:textId="228160E5" w:rsidR="00870ED0" w:rsidRPr="00A11864" w:rsidRDefault="00367735" w:rsidP="000A7B29">
            <w:pPr>
              <w:rPr>
                <w:sz w:val="20"/>
                <w:szCs w:val="20"/>
              </w:rPr>
            </w:pPr>
            <w:r>
              <w:rPr>
                <w:sz w:val="20"/>
                <w:szCs w:val="20"/>
              </w:rPr>
              <w:t>T</w:t>
            </w:r>
            <w:r w:rsidR="00332488">
              <w:rPr>
                <w:sz w:val="20"/>
                <w:szCs w:val="20"/>
              </w:rPr>
              <w:t xml:space="preserve">here is a plan </w:t>
            </w:r>
            <w:r>
              <w:rPr>
                <w:sz w:val="20"/>
                <w:szCs w:val="20"/>
              </w:rPr>
              <w:t xml:space="preserve">and </w:t>
            </w:r>
            <w:r w:rsidR="006A1909">
              <w:rPr>
                <w:sz w:val="20"/>
                <w:szCs w:val="20"/>
              </w:rPr>
              <w:t>a date set</w:t>
            </w:r>
            <w:r w:rsidR="00A730A4">
              <w:rPr>
                <w:sz w:val="20"/>
                <w:szCs w:val="20"/>
              </w:rPr>
              <w:t xml:space="preserve"> for the school board </w:t>
            </w:r>
            <w:r w:rsidR="00332488">
              <w:rPr>
                <w:sz w:val="20"/>
                <w:szCs w:val="20"/>
              </w:rPr>
              <w:t>to app</w:t>
            </w:r>
            <w:r w:rsidR="00D640F9">
              <w:rPr>
                <w:sz w:val="20"/>
                <w:szCs w:val="20"/>
              </w:rPr>
              <w:t>rove TIA compensation</w:t>
            </w:r>
            <w:r w:rsidR="39E2B891" w:rsidRPr="5A6D3F26">
              <w:rPr>
                <w:sz w:val="20"/>
                <w:szCs w:val="20"/>
              </w:rPr>
              <w:t>. If</w:t>
            </w:r>
            <w:r w:rsidR="006A1909">
              <w:rPr>
                <w:sz w:val="20"/>
                <w:szCs w:val="20"/>
              </w:rPr>
              <w:t xml:space="preserve"> the district</w:t>
            </w:r>
            <w:r w:rsidR="007777FC">
              <w:rPr>
                <w:sz w:val="20"/>
                <w:szCs w:val="20"/>
              </w:rPr>
              <w:t xml:space="preserve"> </w:t>
            </w:r>
            <w:r w:rsidR="00A875DC">
              <w:rPr>
                <w:sz w:val="20"/>
                <w:szCs w:val="20"/>
              </w:rPr>
              <w:t xml:space="preserve">has chosen to </w:t>
            </w:r>
            <w:r w:rsidR="00452EDD">
              <w:rPr>
                <w:sz w:val="20"/>
                <w:szCs w:val="20"/>
              </w:rPr>
              <w:t xml:space="preserve">make </w:t>
            </w:r>
            <w:r w:rsidR="00A875DC">
              <w:rPr>
                <w:sz w:val="20"/>
                <w:szCs w:val="20"/>
              </w:rPr>
              <w:t>TIA compensation TRS eligible,</w:t>
            </w:r>
            <w:r w:rsidR="00D015AC">
              <w:rPr>
                <w:sz w:val="20"/>
                <w:szCs w:val="20"/>
              </w:rPr>
              <w:t xml:space="preserve"> there is a </w:t>
            </w:r>
            <w:r w:rsidR="6C68EB51" w:rsidRPr="5A6D3F26">
              <w:rPr>
                <w:sz w:val="20"/>
                <w:szCs w:val="20"/>
              </w:rPr>
              <w:t>TRS-</w:t>
            </w:r>
            <w:r w:rsidR="00D640F9">
              <w:rPr>
                <w:sz w:val="20"/>
                <w:szCs w:val="20"/>
              </w:rPr>
              <w:t xml:space="preserve">verified </w:t>
            </w:r>
            <w:r w:rsidR="00D015AC" w:rsidRPr="5A6D3F26">
              <w:rPr>
                <w:sz w:val="20"/>
                <w:szCs w:val="20"/>
              </w:rPr>
              <w:t>plan</w:t>
            </w:r>
            <w:r w:rsidR="001779C7">
              <w:rPr>
                <w:sz w:val="20"/>
                <w:szCs w:val="20"/>
              </w:rPr>
              <w:t>.</w:t>
            </w:r>
          </w:p>
        </w:tc>
      </w:tr>
      <w:tr w:rsidR="00BF027E" w:rsidRPr="00ED72A6" w14:paraId="20603E14" w14:textId="77777777" w:rsidTr="008D06CD">
        <w:tc>
          <w:tcPr>
            <w:tcW w:w="2425" w:type="dxa"/>
            <w:tcBorders>
              <w:top w:val="nil"/>
              <w:left w:val="nil"/>
              <w:bottom w:val="nil"/>
              <w:right w:val="nil"/>
            </w:tcBorders>
            <w:shd w:val="clear" w:color="auto" w:fill="FFFFFF" w:themeFill="background1"/>
          </w:tcPr>
          <w:p w14:paraId="5760DC6A" w14:textId="77777777" w:rsidR="00BF027E" w:rsidRPr="00F216EE" w:rsidRDefault="00BF027E" w:rsidP="00F216EE">
            <w:pPr>
              <w:rPr>
                <w:b/>
                <w:bCs/>
              </w:rPr>
            </w:pPr>
          </w:p>
        </w:tc>
        <w:tc>
          <w:tcPr>
            <w:tcW w:w="3780" w:type="dxa"/>
            <w:tcBorders>
              <w:top w:val="nil"/>
              <w:left w:val="nil"/>
              <w:bottom w:val="nil"/>
              <w:right w:val="nil"/>
            </w:tcBorders>
            <w:shd w:val="clear" w:color="auto" w:fill="FFFFFF" w:themeFill="background1"/>
          </w:tcPr>
          <w:p w14:paraId="39F4BA55" w14:textId="77777777" w:rsidR="00BF027E" w:rsidRPr="00ED72A6" w:rsidRDefault="00BF027E" w:rsidP="00870ED0">
            <w:pPr>
              <w:rPr>
                <w:sz w:val="20"/>
                <w:szCs w:val="20"/>
              </w:rPr>
            </w:pPr>
          </w:p>
        </w:tc>
        <w:tc>
          <w:tcPr>
            <w:tcW w:w="3060" w:type="dxa"/>
            <w:tcBorders>
              <w:top w:val="nil"/>
              <w:left w:val="nil"/>
              <w:bottom w:val="nil"/>
              <w:right w:val="nil"/>
            </w:tcBorders>
            <w:shd w:val="clear" w:color="auto" w:fill="FFFFFF" w:themeFill="background1"/>
          </w:tcPr>
          <w:p w14:paraId="7C9D10F6" w14:textId="77777777" w:rsidR="00BF027E" w:rsidRPr="00ED72A6" w:rsidRDefault="00BF027E" w:rsidP="00870ED0">
            <w:pPr>
              <w:rPr>
                <w:sz w:val="20"/>
                <w:szCs w:val="20"/>
              </w:rPr>
            </w:pPr>
          </w:p>
        </w:tc>
        <w:tc>
          <w:tcPr>
            <w:tcW w:w="5400" w:type="dxa"/>
            <w:tcBorders>
              <w:top w:val="nil"/>
              <w:left w:val="nil"/>
              <w:bottom w:val="nil"/>
              <w:right w:val="nil"/>
            </w:tcBorders>
            <w:shd w:val="clear" w:color="auto" w:fill="FFFFFF" w:themeFill="background1"/>
          </w:tcPr>
          <w:p w14:paraId="30A0B583" w14:textId="77777777" w:rsidR="00BF027E" w:rsidRPr="00ED72A6" w:rsidRDefault="00BF027E" w:rsidP="00870ED0">
            <w:pPr>
              <w:rPr>
                <w:sz w:val="20"/>
                <w:szCs w:val="20"/>
              </w:rPr>
            </w:pPr>
          </w:p>
        </w:tc>
      </w:tr>
      <w:tr w:rsidR="00870ED0" w:rsidRPr="00ED72A6" w14:paraId="41D22CE9" w14:textId="77777777" w:rsidTr="00342C78">
        <w:tc>
          <w:tcPr>
            <w:tcW w:w="2425" w:type="dxa"/>
            <w:tcBorders>
              <w:top w:val="nil"/>
              <w:left w:val="single" w:sz="4" w:space="0" w:color="FFFFFF"/>
              <w:bottom w:val="single" w:sz="4" w:space="0" w:color="FFFFFF"/>
              <w:right w:val="single" w:sz="4" w:space="0" w:color="FFFFFF"/>
            </w:tcBorders>
            <w:shd w:val="clear" w:color="auto" w:fill="DEEAF6" w:themeFill="accent5" w:themeFillTint="33"/>
          </w:tcPr>
          <w:p w14:paraId="30BA0CE2" w14:textId="5CD6009F" w:rsidR="00870ED0" w:rsidRPr="008D06CD" w:rsidRDefault="00870ED0" w:rsidP="00F216EE">
            <w:pPr>
              <w:rPr>
                <w:b/>
                <w:bCs/>
              </w:rPr>
            </w:pPr>
            <w:r w:rsidRPr="00F216EE">
              <w:rPr>
                <w:b/>
                <w:bCs/>
              </w:rPr>
              <w:t>Movement of teachers</w:t>
            </w:r>
          </w:p>
        </w:tc>
        <w:tc>
          <w:tcPr>
            <w:tcW w:w="3780" w:type="dxa"/>
            <w:tcBorders>
              <w:top w:val="nil"/>
              <w:left w:val="single" w:sz="4" w:space="0" w:color="FFFFFF"/>
              <w:bottom w:val="single" w:sz="4" w:space="0" w:color="FFFFFF"/>
              <w:right w:val="single" w:sz="4" w:space="0" w:color="FFFFFF"/>
            </w:tcBorders>
            <w:shd w:val="clear" w:color="auto" w:fill="FCDFD7" w:themeFill="accent2" w:themeFillTint="33"/>
          </w:tcPr>
          <w:p w14:paraId="6C8D1656" w14:textId="0351C9AB" w:rsidR="00870ED0" w:rsidRPr="00ED72A6" w:rsidRDefault="00870ED0" w:rsidP="00870ED0">
            <w:pPr>
              <w:rPr>
                <w:sz w:val="20"/>
                <w:szCs w:val="20"/>
              </w:rPr>
            </w:pPr>
            <w:r w:rsidRPr="00ED72A6">
              <w:rPr>
                <w:sz w:val="20"/>
                <w:szCs w:val="20"/>
              </w:rPr>
              <w:t>District has no plan to address the financial impact of designated teachers moving to/from a campus</w:t>
            </w:r>
            <w:r w:rsidR="00F45FB3">
              <w:rPr>
                <w:sz w:val="20"/>
                <w:szCs w:val="20"/>
              </w:rPr>
              <w:t xml:space="preserve"> or to/from the </w:t>
            </w:r>
            <w:r w:rsidRPr="00ED72A6">
              <w:rPr>
                <w:sz w:val="20"/>
                <w:szCs w:val="20"/>
              </w:rPr>
              <w:t>district during the school year</w:t>
            </w:r>
          </w:p>
        </w:tc>
        <w:tc>
          <w:tcPr>
            <w:tcW w:w="3060" w:type="dxa"/>
            <w:tcBorders>
              <w:top w:val="nil"/>
              <w:left w:val="single" w:sz="4" w:space="0" w:color="FFFFFF"/>
              <w:bottom w:val="single" w:sz="4" w:space="0" w:color="FFFFFF"/>
              <w:right w:val="single" w:sz="4" w:space="0" w:color="FFFFFF"/>
            </w:tcBorders>
            <w:shd w:val="clear" w:color="auto" w:fill="FDF4D4" w:themeFill="accent6" w:themeFillTint="33"/>
          </w:tcPr>
          <w:p w14:paraId="7B9ED215" w14:textId="18EE5F7D" w:rsidR="00870ED0" w:rsidRPr="00ED72A6" w:rsidRDefault="00870ED0" w:rsidP="00870ED0">
            <w:pPr>
              <w:rPr>
                <w:sz w:val="20"/>
                <w:szCs w:val="20"/>
              </w:rPr>
            </w:pPr>
            <w:r w:rsidRPr="00ED72A6">
              <w:rPr>
                <w:sz w:val="20"/>
                <w:szCs w:val="20"/>
              </w:rPr>
              <w:t>District has a general plan either for teachers moving to/from campuses within their district or to/from another district, but not both. Plan has not been communicated</w:t>
            </w:r>
          </w:p>
        </w:tc>
        <w:tc>
          <w:tcPr>
            <w:tcW w:w="5400" w:type="dxa"/>
            <w:tcBorders>
              <w:top w:val="nil"/>
              <w:left w:val="single" w:sz="4" w:space="0" w:color="FFFFFF"/>
              <w:bottom w:val="single" w:sz="4" w:space="0" w:color="FFFFFF"/>
              <w:right w:val="single" w:sz="4" w:space="0" w:color="FFFFFF"/>
            </w:tcBorders>
            <w:shd w:val="clear" w:color="auto" w:fill="E9F4D9" w:themeFill="accent3" w:themeFillTint="33"/>
          </w:tcPr>
          <w:p w14:paraId="51B5AD9C" w14:textId="40C5D15E" w:rsidR="00870ED0" w:rsidRPr="00C740FB" w:rsidRDefault="00870ED0" w:rsidP="00870ED0">
            <w:pPr>
              <w:rPr>
                <w:sz w:val="20"/>
                <w:szCs w:val="20"/>
              </w:rPr>
            </w:pPr>
            <w:r w:rsidRPr="00ED72A6">
              <w:rPr>
                <w:sz w:val="20"/>
                <w:szCs w:val="20"/>
              </w:rPr>
              <w:t>District has a detailed plan for how to address the financial impact of designated teachers moving to/from a campus/district during the school year and has communicated the plan widely</w:t>
            </w:r>
            <w:r w:rsidR="00B51F80">
              <w:rPr>
                <w:sz w:val="20"/>
                <w:szCs w:val="20"/>
              </w:rPr>
              <w:t xml:space="preserve">. There is specific information about the financial impact of teachers </w:t>
            </w:r>
            <w:r w:rsidR="009C3B9A">
              <w:rPr>
                <w:sz w:val="20"/>
                <w:szCs w:val="20"/>
              </w:rPr>
              <w:t>moving to</w:t>
            </w:r>
            <w:r w:rsidR="006E111A">
              <w:rPr>
                <w:sz w:val="20"/>
                <w:szCs w:val="20"/>
              </w:rPr>
              <w:t>/from</w:t>
            </w:r>
            <w:r w:rsidR="006C735F">
              <w:rPr>
                <w:sz w:val="20"/>
                <w:szCs w:val="20"/>
              </w:rPr>
              <w:t xml:space="preserve"> a campus or</w:t>
            </w:r>
            <w:r w:rsidR="006E111A">
              <w:rPr>
                <w:sz w:val="20"/>
                <w:szCs w:val="20"/>
              </w:rPr>
              <w:t xml:space="preserve"> to/from</w:t>
            </w:r>
            <w:r w:rsidR="006C735F">
              <w:rPr>
                <w:sz w:val="20"/>
                <w:szCs w:val="20"/>
              </w:rPr>
              <w:t xml:space="preserve"> the district both before and after the winter class roster date. There is specific information about the financial impact of a teacher </w:t>
            </w:r>
            <w:r w:rsidR="006E111A">
              <w:rPr>
                <w:sz w:val="20"/>
                <w:szCs w:val="20"/>
              </w:rPr>
              <w:t>moving to/from</w:t>
            </w:r>
            <w:r w:rsidR="006C735F">
              <w:rPr>
                <w:sz w:val="20"/>
                <w:szCs w:val="20"/>
              </w:rPr>
              <w:t xml:space="preserve"> a campus or</w:t>
            </w:r>
            <w:r w:rsidR="006E111A">
              <w:rPr>
                <w:sz w:val="20"/>
                <w:szCs w:val="20"/>
              </w:rPr>
              <w:t xml:space="preserve"> to/from</w:t>
            </w:r>
            <w:r w:rsidR="006C735F">
              <w:rPr>
                <w:sz w:val="20"/>
                <w:szCs w:val="20"/>
              </w:rPr>
              <w:t xml:space="preserve"> </w:t>
            </w:r>
            <w:r w:rsidR="008B078C">
              <w:rPr>
                <w:sz w:val="20"/>
                <w:szCs w:val="20"/>
              </w:rPr>
              <w:t xml:space="preserve">the </w:t>
            </w:r>
            <w:r w:rsidR="006C735F">
              <w:rPr>
                <w:sz w:val="20"/>
                <w:szCs w:val="20"/>
              </w:rPr>
              <w:t>district</w:t>
            </w:r>
            <w:r w:rsidR="008B078C">
              <w:rPr>
                <w:sz w:val="20"/>
                <w:szCs w:val="20"/>
              </w:rPr>
              <w:t xml:space="preserve"> after </w:t>
            </w:r>
            <w:r w:rsidR="00A630F5">
              <w:rPr>
                <w:sz w:val="20"/>
                <w:szCs w:val="20"/>
              </w:rPr>
              <w:t>Class Roster Winter Submission</w:t>
            </w:r>
            <w:r w:rsidR="008B078C">
              <w:rPr>
                <w:sz w:val="20"/>
                <w:szCs w:val="20"/>
              </w:rPr>
              <w:t xml:space="preserve"> but prior to scheduled teacher TIA payout</w:t>
            </w:r>
          </w:p>
        </w:tc>
      </w:tr>
      <w:tr w:rsidR="00870ED0" w:rsidRPr="00ED72A6" w14:paraId="7FE0AB4D" w14:textId="77777777" w:rsidTr="00342C78">
        <w:tc>
          <w:tcPr>
            <w:tcW w:w="2425"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35927CB6" w14:textId="18E2C1E9" w:rsidR="00870ED0" w:rsidRPr="008D06CD" w:rsidRDefault="00870ED0" w:rsidP="00F216EE">
            <w:pPr>
              <w:rPr>
                <w:b/>
                <w:bCs/>
              </w:rPr>
            </w:pPr>
            <w:r w:rsidRPr="00F216EE">
              <w:rPr>
                <w:b/>
                <w:bCs/>
              </w:rPr>
              <w:t xml:space="preserve">Plan to track payout to NBCT </w:t>
            </w:r>
          </w:p>
        </w:tc>
        <w:tc>
          <w:tcPr>
            <w:tcW w:w="3780"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4FC7182D" w14:textId="5EBBFEE6" w:rsidR="00870ED0" w:rsidRPr="00ED72A6" w:rsidRDefault="00870ED0" w:rsidP="00870ED0">
            <w:pPr>
              <w:rPr>
                <w:sz w:val="20"/>
                <w:szCs w:val="20"/>
              </w:rPr>
            </w:pPr>
            <w:r w:rsidRPr="00ED72A6">
              <w:rPr>
                <w:sz w:val="20"/>
                <w:szCs w:val="20"/>
              </w:rPr>
              <w:t xml:space="preserve">District does not have a plan to disseminate TIA funds to </w:t>
            </w:r>
            <w:r w:rsidR="08F4385A" w:rsidRPr="325650FB">
              <w:rPr>
                <w:sz w:val="20"/>
                <w:szCs w:val="20"/>
              </w:rPr>
              <w:t>NBCT</w:t>
            </w:r>
            <w:r w:rsidR="4F57047D" w:rsidRPr="325650FB">
              <w:rPr>
                <w:sz w:val="20"/>
                <w:szCs w:val="20"/>
              </w:rPr>
              <w:t>s</w:t>
            </w:r>
            <w:r w:rsidRPr="00ED72A6">
              <w:rPr>
                <w:sz w:val="20"/>
                <w:szCs w:val="20"/>
              </w:rPr>
              <w:t xml:space="preserve"> who earn a Recognized designation automatically</w:t>
            </w:r>
          </w:p>
        </w:tc>
        <w:tc>
          <w:tcPr>
            <w:tcW w:w="306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23F749D2" w14:textId="77777777" w:rsidR="00870ED0" w:rsidRPr="00ED72A6" w:rsidRDefault="00870ED0" w:rsidP="00870ED0">
            <w:pPr>
              <w:rPr>
                <w:sz w:val="20"/>
                <w:szCs w:val="20"/>
              </w:rPr>
            </w:pPr>
          </w:p>
        </w:tc>
        <w:tc>
          <w:tcPr>
            <w:tcW w:w="540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FA4C9DB" w14:textId="55E9B4BA" w:rsidR="00870ED0" w:rsidRPr="007D5474" w:rsidRDefault="00870ED0" w:rsidP="005254BA">
            <w:pPr>
              <w:rPr>
                <w:sz w:val="20"/>
                <w:szCs w:val="20"/>
              </w:rPr>
            </w:pPr>
            <w:r w:rsidRPr="00ED72A6">
              <w:rPr>
                <w:sz w:val="20"/>
                <w:szCs w:val="20"/>
              </w:rPr>
              <w:t xml:space="preserve">District has a clear </w:t>
            </w:r>
            <w:r w:rsidR="00697CD3" w:rsidRPr="00004C44">
              <w:rPr>
                <w:sz w:val="20"/>
                <w:szCs w:val="20"/>
              </w:rPr>
              <w:t>spending plan for</w:t>
            </w:r>
            <w:r w:rsidRPr="00ED72A6">
              <w:rPr>
                <w:sz w:val="20"/>
                <w:szCs w:val="20"/>
              </w:rPr>
              <w:t xml:space="preserve"> allotment funds </w:t>
            </w:r>
            <w:r w:rsidR="00697CD3" w:rsidRPr="00004C44">
              <w:rPr>
                <w:sz w:val="20"/>
                <w:szCs w:val="20"/>
              </w:rPr>
              <w:t>generated by NBCTs</w:t>
            </w:r>
            <w:r w:rsidR="00697CD3">
              <w:rPr>
                <w:sz w:val="20"/>
                <w:szCs w:val="20"/>
              </w:rPr>
              <w:t xml:space="preserve"> who </w:t>
            </w:r>
            <w:r w:rsidRPr="00ED72A6">
              <w:rPr>
                <w:sz w:val="20"/>
                <w:szCs w:val="20"/>
              </w:rPr>
              <w:t>earn a Recognized designation automatically</w:t>
            </w:r>
            <w:r w:rsidR="00697CD3" w:rsidRPr="00004C44">
              <w:rPr>
                <w:sz w:val="20"/>
                <w:szCs w:val="20"/>
              </w:rPr>
              <w:t xml:space="preserve">. If the district compensation plan for NBCTs is different than the compensation plan for teachers who earned </w:t>
            </w:r>
            <w:r w:rsidR="00697CD3">
              <w:rPr>
                <w:sz w:val="20"/>
                <w:szCs w:val="20"/>
              </w:rPr>
              <w:t>a Recognized designation vi</w:t>
            </w:r>
            <w:r w:rsidR="00697CD3" w:rsidRPr="00004C44">
              <w:rPr>
                <w:sz w:val="20"/>
                <w:szCs w:val="20"/>
              </w:rPr>
              <w:t>a</w:t>
            </w:r>
            <w:r w:rsidR="00697CD3">
              <w:rPr>
                <w:sz w:val="20"/>
                <w:szCs w:val="20"/>
              </w:rPr>
              <w:t xml:space="preserve"> the</w:t>
            </w:r>
            <w:r w:rsidR="00697CD3" w:rsidRPr="00004C44">
              <w:rPr>
                <w:sz w:val="20"/>
                <w:szCs w:val="20"/>
              </w:rPr>
              <w:t xml:space="preserve"> local </w:t>
            </w:r>
            <w:r w:rsidR="00697CD3">
              <w:rPr>
                <w:sz w:val="20"/>
                <w:szCs w:val="20"/>
              </w:rPr>
              <w:t xml:space="preserve">teacher </w:t>
            </w:r>
            <w:r w:rsidR="00697CD3" w:rsidRPr="00004C44">
              <w:rPr>
                <w:sz w:val="20"/>
                <w:szCs w:val="20"/>
              </w:rPr>
              <w:t>designation</w:t>
            </w:r>
            <w:r w:rsidR="00697CD3">
              <w:rPr>
                <w:sz w:val="20"/>
                <w:szCs w:val="20"/>
              </w:rPr>
              <w:t xml:space="preserve"> system</w:t>
            </w:r>
            <w:r w:rsidR="00697CD3" w:rsidRPr="00004C44">
              <w:rPr>
                <w:sz w:val="20"/>
                <w:szCs w:val="20"/>
              </w:rPr>
              <w:t>, published resources provide a comparison</w:t>
            </w:r>
            <w:r w:rsidR="00697CD3">
              <w:rPr>
                <w:sz w:val="20"/>
                <w:szCs w:val="20"/>
              </w:rPr>
              <w:t xml:space="preserve"> of the two and a rationale for why they are different</w:t>
            </w:r>
            <w:r w:rsidR="0058502A">
              <w:rPr>
                <w:sz w:val="20"/>
                <w:szCs w:val="20"/>
              </w:rPr>
              <w:t xml:space="preserve">. </w:t>
            </w:r>
          </w:p>
        </w:tc>
      </w:tr>
    </w:tbl>
    <w:p w14:paraId="3C28AF4A" w14:textId="77777777" w:rsidR="001F21B7" w:rsidRDefault="001F21B7" w:rsidP="001F21B7">
      <w:pPr>
        <w:rPr>
          <w:sz w:val="24"/>
          <w:szCs w:val="24"/>
        </w:rPr>
      </w:pPr>
    </w:p>
    <w:p w14:paraId="56086DA5" w14:textId="77777777" w:rsidR="00D62DB6" w:rsidRDefault="00D62DB6" w:rsidP="001F21B7">
      <w:pPr>
        <w:rPr>
          <w:sz w:val="24"/>
          <w:szCs w:val="24"/>
        </w:rPr>
      </w:pPr>
    </w:p>
    <w:p w14:paraId="225B161C" w14:textId="77777777" w:rsidR="00D62DB6" w:rsidRDefault="00D62DB6" w:rsidP="001F21B7">
      <w:pPr>
        <w:rPr>
          <w:sz w:val="24"/>
          <w:szCs w:val="24"/>
        </w:rPr>
      </w:pPr>
    </w:p>
    <w:p w14:paraId="159322C6" w14:textId="77777777" w:rsidR="00D62DB6" w:rsidRDefault="00D62DB6" w:rsidP="001F21B7">
      <w:pPr>
        <w:rPr>
          <w:sz w:val="24"/>
          <w:szCs w:val="24"/>
        </w:rPr>
      </w:pPr>
    </w:p>
    <w:p w14:paraId="31436794" w14:textId="77777777" w:rsidR="00D62DB6" w:rsidRDefault="00D62DB6" w:rsidP="001F21B7">
      <w:pPr>
        <w:rPr>
          <w:sz w:val="24"/>
          <w:szCs w:val="24"/>
        </w:rPr>
      </w:pPr>
    </w:p>
    <w:p w14:paraId="6F6C2931" w14:textId="77777777" w:rsidR="00D62DB6" w:rsidRDefault="00D62DB6" w:rsidP="001F21B7">
      <w:pPr>
        <w:rPr>
          <w:sz w:val="24"/>
          <w:szCs w:val="24"/>
        </w:rPr>
      </w:pPr>
    </w:p>
    <w:p w14:paraId="60FA9755" w14:textId="77777777" w:rsidR="00D62DB6" w:rsidRDefault="00D62DB6" w:rsidP="001F21B7">
      <w:pPr>
        <w:rPr>
          <w:sz w:val="24"/>
          <w:szCs w:val="24"/>
        </w:rPr>
      </w:pPr>
    </w:p>
    <w:p w14:paraId="13405FFD" w14:textId="77777777" w:rsidR="00D62DB6" w:rsidRDefault="00D62DB6" w:rsidP="001F21B7">
      <w:pPr>
        <w:rPr>
          <w:sz w:val="24"/>
          <w:szCs w:val="24"/>
        </w:rPr>
      </w:pPr>
    </w:p>
    <w:p w14:paraId="039731DC" w14:textId="76D449F9" w:rsidR="00D62DB6" w:rsidRDefault="00D62DB6" w:rsidP="001F21B7">
      <w:pPr>
        <w:rPr>
          <w:sz w:val="24"/>
          <w:szCs w:val="24"/>
        </w:rPr>
      </w:pPr>
    </w:p>
    <w:p w14:paraId="4926BBE2" w14:textId="77777777" w:rsidR="00ED21EF" w:rsidRDefault="00ED21EF" w:rsidP="001F21B7">
      <w:pPr>
        <w:rPr>
          <w:sz w:val="24"/>
          <w:szCs w:val="24"/>
        </w:rPr>
      </w:pPr>
    </w:p>
    <w:p w14:paraId="3EF27584" w14:textId="1BC9349D" w:rsidR="00D62DB6" w:rsidRDefault="00D62DB6" w:rsidP="001F21B7">
      <w:pPr>
        <w:rPr>
          <w:sz w:val="24"/>
          <w:szCs w:val="24"/>
        </w:rPr>
      </w:pPr>
    </w:p>
    <w:p w14:paraId="10F43CA3" w14:textId="04C6E547" w:rsidR="00AC63FB" w:rsidRDefault="00AC63FB" w:rsidP="001F21B7">
      <w:pPr>
        <w:rPr>
          <w:sz w:val="24"/>
          <w:szCs w:val="24"/>
        </w:rPr>
      </w:pPr>
    </w:p>
    <w:p w14:paraId="5D5680C6" w14:textId="77777777" w:rsidR="00AC63FB" w:rsidRDefault="00AC63FB" w:rsidP="001F21B7">
      <w:pPr>
        <w:rPr>
          <w:sz w:val="24"/>
          <w:szCs w:val="24"/>
        </w:rPr>
      </w:pPr>
    </w:p>
    <w:p w14:paraId="48E73B97" w14:textId="69E5E0DA" w:rsidR="00D62DB6" w:rsidRDefault="00D62DB6" w:rsidP="00D62DB6">
      <w:pPr>
        <w:spacing w:after="0"/>
        <w:rPr>
          <w:sz w:val="24"/>
          <w:szCs w:val="24"/>
        </w:rPr>
      </w:pPr>
      <w:r w:rsidRPr="00D62DB6">
        <w:rPr>
          <w:b/>
          <w:bCs/>
          <w:sz w:val="24"/>
          <w:szCs w:val="24"/>
        </w:rPr>
        <w:t>Best practices for all “Full Readiness” descriptors highly encouraged</w:t>
      </w:r>
    </w:p>
    <w:p w14:paraId="2B32CF8C" w14:textId="32EFF299" w:rsidR="00ED72A6" w:rsidRDefault="00ED72A6" w:rsidP="00D62DB6">
      <w:pPr>
        <w:spacing w:after="0"/>
        <w:rPr>
          <w:sz w:val="24"/>
          <w:szCs w:val="24"/>
        </w:rPr>
      </w:pPr>
      <w:r w:rsidRPr="00ED72A6">
        <w:rPr>
          <w:sz w:val="24"/>
          <w:szCs w:val="24"/>
        </w:rPr>
        <w:t>District Systems Support</w:t>
      </w:r>
    </w:p>
    <w:p w14:paraId="3A3AA489" w14:textId="77777777" w:rsidR="00D62DB6" w:rsidRDefault="00D62DB6" w:rsidP="00D62DB6">
      <w:pPr>
        <w:spacing w:after="0"/>
        <w:rPr>
          <w:sz w:val="24"/>
          <w:szCs w:val="24"/>
        </w:rPr>
      </w:pPr>
    </w:p>
    <w:tbl>
      <w:tblPr>
        <w:tblStyle w:val="TableGrid"/>
        <w:tblW w:w="14665" w:type="dxa"/>
        <w:tblLook w:val="04A0" w:firstRow="1" w:lastRow="0" w:firstColumn="1" w:lastColumn="0" w:noHBand="0" w:noVBand="1"/>
      </w:tblPr>
      <w:tblGrid>
        <w:gridCol w:w="2100"/>
        <w:gridCol w:w="2665"/>
        <w:gridCol w:w="2970"/>
        <w:gridCol w:w="6930"/>
      </w:tblGrid>
      <w:tr w:rsidR="00ED72A6" w:rsidRPr="00ED72A6" w14:paraId="2763E95E" w14:textId="77777777" w:rsidTr="008D06CD">
        <w:tc>
          <w:tcPr>
            <w:tcW w:w="2100" w:type="dxa"/>
            <w:tcBorders>
              <w:top w:val="single" w:sz="4" w:space="0" w:color="FFFFFF"/>
              <w:left w:val="single" w:sz="4" w:space="0" w:color="FFFFFF"/>
              <w:bottom w:val="single" w:sz="4" w:space="0" w:color="FFFFFF"/>
              <w:right w:val="single" w:sz="4" w:space="0" w:color="FFFFFF"/>
            </w:tcBorders>
            <w:shd w:val="clear" w:color="auto" w:fill="0D6CB9" w:themeFill="text2"/>
          </w:tcPr>
          <w:p w14:paraId="5750FACF" w14:textId="77777777" w:rsidR="00ED72A6" w:rsidRPr="00ED72A6" w:rsidRDefault="00ED72A6" w:rsidP="00ED72A6">
            <w:pPr>
              <w:rPr>
                <w:b/>
                <w:bCs/>
                <w:sz w:val="24"/>
                <w:szCs w:val="24"/>
              </w:rPr>
            </w:pPr>
            <w:r w:rsidRPr="00342C78">
              <w:rPr>
                <w:b/>
                <w:bCs/>
                <w:color w:val="FFFFFF" w:themeColor="background1"/>
                <w:sz w:val="24"/>
                <w:szCs w:val="24"/>
              </w:rPr>
              <w:t>Component</w:t>
            </w:r>
          </w:p>
        </w:tc>
        <w:tc>
          <w:tcPr>
            <w:tcW w:w="2665" w:type="dxa"/>
            <w:tcBorders>
              <w:top w:val="single" w:sz="4" w:space="0" w:color="FFFFFF"/>
              <w:left w:val="single" w:sz="4" w:space="0" w:color="FFFFFF"/>
              <w:bottom w:val="single" w:sz="4" w:space="0" w:color="FFFFFF"/>
              <w:right w:val="single" w:sz="4" w:space="0" w:color="FFFFFF"/>
            </w:tcBorders>
            <w:shd w:val="clear" w:color="auto" w:fill="F16038" w:themeFill="accent2"/>
          </w:tcPr>
          <w:p w14:paraId="58B2C5F1" w14:textId="77777777" w:rsidR="00ED72A6" w:rsidRPr="00196AA2" w:rsidRDefault="00ED72A6" w:rsidP="00ED72A6">
            <w:pPr>
              <w:rPr>
                <w:b/>
                <w:bCs/>
                <w:color w:val="FFFFFF" w:themeColor="background1"/>
                <w:sz w:val="24"/>
                <w:szCs w:val="24"/>
              </w:rPr>
            </w:pPr>
            <w:r w:rsidRPr="00663B4C">
              <w:rPr>
                <w:b/>
                <w:bCs/>
                <w:color w:val="242424" w:themeColor="text1"/>
                <w:sz w:val="24"/>
                <w:szCs w:val="24"/>
              </w:rPr>
              <w:t>Limited or no Readiness</w:t>
            </w:r>
          </w:p>
        </w:tc>
        <w:tc>
          <w:tcPr>
            <w:tcW w:w="2970" w:type="dxa"/>
            <w:tcBorders>
              <w:top w:val="single" w:sz="4" w:space="0" w:color="FFFFFF"/>
              <w:left w:val="single" w:sz="4" w:space="0" w:color="FFFFFF"/>
              <w:bottom w:val="single" w:sz="4" w:space="0" w:color="FFFFFF"/>
              <w:right w:val="single" w:sz="4" w:space="0" w:color="FFFFFF"/>
            </w:tcBorders>
            <w:shd w:val="clear" w:color="auto" w:fill="F8CC2A" w:themeFill="accent6"/>
          </w:tcPr>
          <w:p w14:paraId="5D609A39" w14:textId="77777777" w:rsidR="00ED72A6" w:rsidRPr="00ED72A6" w:rsidRDefault="00ED72A6" w:rsidP="00ED72A6">
            <w:pPr>
              <w:rPr>
                <w:b/>
                <w:bCs/>
                <w:sz w:val="24"/>
                <w:szCs w:val="24"/>
              </w:rPr>
            </w:pPr>
            <w:r w:rsidRPr="00ED72A6">
              <w:rPr>
                <w:b/>
                <w:bCs/>
                <w:sz w:val="24"/>
                <w:szCs w:val="24"/>
              </w:rPr>
              <w:t>Partial Readiness</w:t>
            </w:r>
          </w:p>
        </w:tc>
        <w:tc>
          <w:tcPr>
            <w:tcW w:w="6930" w:type="dxa"/>
            <w:tcBorders>
              <w:top w:val="single" w:sz="4" w:space="0" w:color="FFFFFF"/>
              <w:left w:val="single" w:sz="4" w:space="0" w:color="FFFFFF"/>
              <w:bottom w:val="single" w:sz="4" w:space="0" w:color="FFFFFF"/>
              <w:right w:val="single" w:sz="4" w:space="0" w:color="FFFFFF"/>
            </w:tcBorders>
            <w:shd w:val="clear" w:color="auto" w:fill="92C841" w:themeFill="accent3"/>
          </w:tcPr>
          <w:p w14:paraId="5E095738" w14:textId="77777777" w:rsidR="00ED72A6" w:rsidRPr="00ED72A6" w:rsidRDefault="00ED72A6" w:rsidP="00ED72A6">
            <w:pPr>
              <w:rPr>
                <w:b/>
                <w:bCs/>
                <w:sz w:val="24"/>
                <w:szCs w:val="24"/>
              </w:rPr>
            </w:pPr>
            <w:r w:rsidRPr="00ED72A6">
              <w:rPr>
                <w:b/>
                <w:bCs/>
                <w:sz w:val="24"/>
                <w:szCs w:val="24"/>
              </w:rPr>
              <w:t xml:space="preserve">Full Readiness </w:t>
            </w:r>
          </w:p>
        </w:tc>
      </w:tr>
      <w:tr w:rsidR="00ED72A6" w:rsidRPr="00ED72A6" w14:paraId="145B01B0" w14:textId="77777777" w:rsidTr="00342C78">
        <w:tc>
          <w:tcPr>
            <w:tcW w:w="2100"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3EFC95D0" w14:textId="31BBE430" w:rsidR="00ED72A6" w:rsidRPr="00D62DB6" w:rsidRDefault="00ED72A6" w:rsidP="00D62DB6">
            <w:pPr>
              <w:rPr>
                <w:b/>
                <w:bCs/>
              </w:rPr>
            </w:pPr>
            <w:r w:rsidRPr="00D62DB6">
              <w:rPr>
                <w:b/>
                <w:bCs/>
              </w:rPr>
              <w:t>Central office system support</w:t>
            </w:r>
          </w:p>
          <w:p w14:paraId="7B0C1E28" w14:textId="77777777" w:rsidR="00ED72A6" w:rsidRPr="00ED72A6" w:rsidRDefault="00ED72A6" w:rsidP="00D62DB6">
            <w:pPr>
              <w:rPr>
                <w:b/>
                <w:bCs/>
              </w:rPr>
            </w:pPr>
          </w:p>
          <w:p w14:paraId="1AEDDD51" w14:textId="45A8B9EA" w:rsidR="00ED72A6" w:rsidRPr="00ED72A6" w:rsidRDefault="00ED72A6" w:rsidP="00ED72A6">
            <w:pPr>
              <w:rPr>
                <w:b/>
                <w:bCs/>
              </w:rPr>
            </w:pPr>
          </w:p>
        </w:tc>
        <w:tc>
          <w:tcPr>
            <w:tcW w:w="2665"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32503EC6" w14:textId="77777777" w:rsidR="00ED72A6" w:rsidRPr="00ED72A6" w:rsidRDefault="00ED72A6" w:rsidP="00ED72A6">
            <w:pPr>
              <w:rPr>
                <w:sz w:val="20"/>
                <w:szCs w:val="20"/>
              </w:rPr>
            </w:pPr>
            <w:r w:rsidRPr="00ED72A6">
              <w:rPr>
                <w:sz w:val="20"/>
                <w:szCs w:val="20"/>
              </w:rPr>
              <w:t>District systems are not in place to support the mechanics of TIA rollout and implementation</w:t>
            </w:r>
          </w:p>
        </w:tc>
        <w:tc>
          <w:tcPr>
            <w:tcW w:w="297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4B84FD4F" w14:textId="3C37C86C" w:rsidR="00ED72A6" w:rsidRPr="00ED72A6" w:rsidRDefault="00ED72A6" w:rsidP="00ED72A6">
            <w:pPr>
              <w:rPr>
                <w:sz w:val="20"/>
                <w:szCs w:val="20"/>
              </w:rPr>
            </w:pPr>
            <w:r w:rsidRPr="00ED72A6">
              <w:rPr>
                <w:sz w:val="20"/>
                <w:szCs w:val="20"/>
              </w:rPr>
              <w:t xml:space="preserve">Some district structural supports are in place, but </w:t>
            </w:r>
            <w:r w:rsidR="00D03254" w:rsidRPr="00D03254">
              <w:rPr>
                <w:sz w:val="20"/>
                <w:szCs w:val="20"/>
              </w:rPr>
              <w:t>key personnel needed</w:t>
            </w:r>
            <w:r w:rsidRPr="00ED72A6">
              <w:rPr>
                <w:sz w:val="20"/>
                <w:szCs w:val="20"/>
              </w:rPr>
              <w:t xml:space="preserve"> for rollout and implementation of TIA are missing</w:t>
            </w:r>
            <w:r w:rsidR="00D03254" w:rsidRPr="00D03254">
              <w:rPr>
                <w:sz w:val="20"/>
                <w:szCs w:val="20"/>
              </w:rPr>
              <w:t xml:space="preserve"> or not yet identified</w:t>
            </w:r>
          </w:p>
        </w:tc>
        <w:tc>
          <w:tcPr>
            <w:tcW w:w="693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7F68F33" w14:textId="77777777" w:rsidR="00ED72A6" w:rsidRPr="00ED72A6" w:rsidRDefault="00ED72A6" w:rsidP="00ED72A6">
            <w:pPr>
              <w:rPr>
                <w:sz w:val="20"/>
                <w:szCs w:val="20"/>
              </w:rPr>
            </w:pPr>
            <w:r w:rsidRPr="00ED72A6">
              <w:rPr>
                <w:sz w:val="20"/>
                <w:szCs w:val="20"/>
              </w:rPr>
              <w:t>District system support for TIA includes:</w:t>
            </w:r>
          </w:p>
          <w:p w14:paraId="58E066A7" w14:textId="77777777" w:rsidR="00ED72A6" w:rsidRPr="00ED72A6" w:rsidRDefault="00ED72A6" w:rsidP="00ED72A6">
            <w:pPr>
              <w:numPr>
                <w:ilvl w:val="0"/>
                <w:numId w:val="1"/>
              </w:numPr>
              <w:contextualSpacing/>
              <w:rPr>
                <w:sz w:val="20"/>
                <w:szCs w:val="20"/>
              </w:rPr>
            </w:pPr>
            <w:r w:rsidRPr="00ED72A6">
              <w:rPr>
                <w:sz w:val="20"/>
                <w:szCs w:val="20"/>
              </w:rPr>
              <w:t xml:space="preserve">human resources </w:t>
            </w:r>
            <w:r w:rsidRPr="7B5CD3AE">
              <w:rPr>
                <w:sz w:val="20"/>
                <w:szCs w:val="20"/>
              </w:rPr>
              <w:t>support</w:t>
            </w:r>
            <w:r w:rsidRPr="00ED72A6">
              <w:rPr>
                <w:sz w:val="20"/>
                <w:szCs w:val="20"/>
              </w:rPr>
              <w:t xml:space="preserve"> for recruitment and retention</w:t>
            </w:r>
          </w:p>
          <w:p w14:paraId="33CEE751" w14:textId="1D034605" w:rsidR="00ED72A6" w:rsidRDefault="00640F9D" w:rsidP="00ED72A6">
            <w:pPr>
              <w:numPr>
                <w:ilvl w:val="0"/>
                <w:numId w:val="1"/>
              </w:numPr>
              <w:contextualSpacing/>
              <w:rPr>
                <w:sz w:val="20"/>
                <w:szCs w:val="20"/>
              </w:rPr>
            </w:pPr>
            <w:r>
              <w:rPr>
                <w:sz w:val="20"/>
                <w:szCs w:val="20"/>
              </w:rPr>
              <w:t>budget/payroll</w:t>
            </w:r>
            <w:r w:rsidR="00ED72A6" w:rsidRPr="00ED72A6">
              <w:rPr>
                <w:sz w:val="20"/>
                <w:szCs w:val="20"/>
              </w:rPr>
              <w:t xml:space="preserve"> </w:t>
            </w:r>
            <w:r w:rsidR="00ED72A6" w:rsidRPr="7B5CD3AE">
              <w:rPr>
                <w:sz w:val="20"/>
                <w:szCs w:val="20"/>
              </w:rPr>
              <w:t>support</w:t>
            </w:r>
            <w:r w:rsidR="00ED72A6" w:rsidRPr="00ED72A6">
              <w:rPr>
                <w:sz w:val="20"/>
                <w:szCs w:val="20"/>
              </w:rPr>
              <w:t xml:space="preserve"> tied to managing the allotment funds the district receives each year, including planning for potential changes to the allotment funds the district might receive from year to yea</w:t>
            </w:r>
            <w:r w:rsidR="00107335">
              <w:rPr>
                <w:sz w:val="20"/>
                <w:szCs w:val="20"/>
              </w:rPr>
              <w:t>r and a</w:t>
            </w:r>
            <w:r w:rsidR="005A3F92" w:rsidRPr="00ED72A6">
              <w:rPr>
                <w:sz w:val="20"/>
                <w:szCs w:val="20"/>
              </w:rPr>
              <w:t xml:space="preserve"> clear system of payment to teachers </w:t>
            </w:r>
          </w:p>
          <w:p w14:paraId="3D26CEFD" w14:textId="71749BFF" w:rsidR="00511B86" w:rsidRPr="00511B86" w:rsidRDefault="00511B86" w:rsidP="00511B86">
            <w:pPr>
              <w:numPr>
                <w:ilvl w:val="0"/>
                <w:numId w:val="1"/>
              </w:numPr>
              <w:contextualSpacing/>
              <w:rPr>
                <w:sz w:val="20"/>
                <w:szCs w:val="20"/>
              </w:rPr>
            </w:pPr>
            <w:r w:rsidRPr="00ED72A6">
              <w:rPr>
                <w:sz w:val="20"/>
                <w:szCs w:val="20"/>
              </w:rPr>
              <w:t xml:space="preserve">technology support tied to tracking student growth measures and teacher observation data </w:t>
            </w:r>
          </w:p>
          <w:p w14:paraId="238CCF51" w14:textId="1F3E7279" w:rsidR="00ED72A6" w:rsidRPr="00ED72A6" w:rsidRDefault="00ED72A6" w:rsidP="00ED72A6">
            <w:pPr>
              <w:numPr>
                <w:ilvl w:val="0"/>
                <w:numId w:val="1"/>
              </w:numPr>
              <w:contextualSpacing/>
              <w:rPr>
                <w:sz w:val="20"/>
                <w:szCs w:val="20"/>
              </w:rPr>
            </w:pPr>
            <w:r w:rsidRPr="00ED72A6">
              <w:rPr>
                <w:sz w:val="20"/>
                <w:szCs w:val="20"/>
              </w:rPr>
              <w:t xml:space="preserve">curriculum and instruction support tied to valid and reliable student growth measures </w:t>
            </w:r>
          </w:p>
          <w:p w14:paraId="6BFA1570" w14:textId="77777777" w:rsidR="00ED72A6" w:rsidRPr="00ED72A6" w:rsidRDefault="00ED72A6" w:rsidP="00ED72A6">
            <w:pPr>
              <w:numPr>
                <w:ilvl w:val="0"/>
                <w:numId w:val="1"/>
              </w:numPr>
              <w:contextualSpacing/>
              <w:rPr>
                <w:sz w:val="20"/>
                <w:szCs w:val="20"/>
              </w:rPr>
            </w:pPr>
            <w:r w:rsidRPr="00ED72A6">
              <w:rPr>
                <w:sz w:val="20"/>
                <w:szCs w:val="20"/>
              </w:rPr>
              <w:t>assessment support tied to valid and reliable student growth measures</w:t>
            </w:r>
          </w:p>
          <w:p w14:paraId="741560AC" w14:textId="3A49C49C" w:rsidR="00ED72A6" w:rsidRPr="00ED72A6" w:rsidRDefault="00ED72A6" w:rsidP="00ED72A6">
            <w:pPr>
              <w:numPr>
                <w:ilvl w:val="0"/>
                <w:numId w:val="1"/>
              </w:numPr>
              <w:contextualSpacing/>
              <w:rPr>
                <w:sz w:val="20"/>
                <w:szCs w:val="20"/>
              </w:rPr>
            </w:pPr>
            <w:r w:rsidRPr="00ED72A6">
              <w:rPr>
                <w:sz w:val="20"/>
                <w:szCs w:val="20"/>
              </w:rPr>
              <w:t>professional development support tied to earning TIA designations</w:t>
            </w:r>
            <w:r w:rsidR="00673849">
              <w:rPr>
                <w:sz w:val="20"/>
                <w:szCs w:val="20"/>
              </w:rPr>
              <w:t xml:space="preserve"> </w:t>
            </w:r>
            <w:r w:rsidRPr="00ED72A6">
              <w:rPr>
                <w:sz w:val="20"/>
                <w:szCs w:val="20"/>
              </w:rPr>
              <w:t>and using student growth data, etc.</w:t>
            </w:r>
          </w:p>
          <w:p w14:paraId="3696C40F" w14:textId="74896AFB" w:rsidR="00ED72A6" w:rsidRDefault="00ED72A6" w:rsidP="00ED72A6">
            <w:pPr>
              <w:numPr>
                <w:ilvl w:val="0"/>
                <w:numId w:val="1"/>
              </w:numPr>
              <w:contextualSpacing/>
              <w:rPr>
                <w:sz w:val="20"/>
                <w:szCs w:val="20"/>
              </w:rPr>
            </w:pPr>
            <w:r w:rsidRPr="00ED72A6">
              <w:rPr>
                <w:sz w:val="20"/>
                <w:szCs w:val="20"/>
              </w:rPr>
              <w:t>legal support tied to meeting all requirements in statute</w:t>
            </w:r>
          </w:p>
          <w:p w14:paraId="56DA0BC1" w14:textId="09C17078" w:rsidR="007939F7" w:rsidRPr="00ED72A6" w:rsidRDefault="007939F7" w:rsidP="00ED72A6">
            <w:pPr>
              <w:numPr>
                <w:ilvl w:val="0"/>
                <w:numId w:val="1"/>
              </w:numPr>
              <w:contextualSpacing/>
              <w:rPr>
                <w:sz w:val="20"/>
                <w:szCs w:val="20"/>
              </w:rPr>
            </w:pPr>
            <w:r>
              <w:rPr>
                <w:sz w:val="20"/>
                <w:szCs w:val="20"/>
              </w:rPr>
              <w:t>At least one district level leadership position is responsible for coordinating the collaboration of</w:t>
            </w:r>
            <w:r w:rsidR="00EF4391">
              <w:rPr>
                <w:sz w:val="20"/>
                <w:szCs w:val="20"/>
              </w:rPr>
              <w:t xml:space="preserve"> all the district departments supporting the execution of the local teacher designation system </w:t>
            </w:r>
            <w:r w:rsidR="00EE6D13">
              <w:rPr>
                <w:sz w:val="20"/>
                <w:szCs w:val="20"/>
              </w:rPr>
              <w:t>and spending plan</w:t>
            </w:r>
          </w:p>
          <w:p w14:paraId="50EC4D36" w14:textId="4CA98D79" w:rsidR="00ED72A6" w:rsidRPr="009F46E9" w:rsidRDefault="007D6C1A" w:rsidP="009F46E9">
            <w:pPr>
              <w:numPr>
                <w:ilvl w:val="0"/>
                <w:numId w:val="1"/>
              </w:numPr>
              <w:contextualSpacing/>
              <w:rPr>
                <w:sz w:val="20"/>
                <w:szCs w:val="20"/>
              </w:rPr>
            </w:pPr>
            <w:r>
              <w:rPr>
                <w:sz w:val="20"/>
                <w:szCs w:val="20"/>
              </w:rPr>
              <w:t>There is at least on</w:t>
            </w:r>
            <w:r w:rsidR="0003051B">
              <w:rPr>
                <w:sz w:val="20"/>
                <w:szCs w:val="20"/>
              </w:rPr>
              <w:t>e</w:t>
            </w:r>
            <w:r w:rsidR="008115DA">
              <w:rPr>
                <w:sz w:val="20"/>
                <w:szCs w:val="20"/>
              </w:rPr>
              <w:t xml:space="preserve"> staff member on every applicable campus who serves as the point person for TIA</w:t>
            </w:r>
          </w:p>
        </w:tc>
      </w:tr>
      <w:tr w:rsidR="00ED72A6" w:rsidRPr="00ED72A6" w14:paraId="12187B9E" w14:textId="77777777" w:rsidTr="00342C78">
        <w:tc>
          <w:tcPr>
            <w:tcW w:w="2100"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025C7417" w14:textId="5676336E" w:rsidR="00ED72A6" w:rsidRPr="00D62DB6" w:rsidRDefault="00ED72A6" w:rsidP="00D62DB6">
            <w:pPr>
              <w:rPr>
                <w:b/>
                <w:bCs/>
              </w:rPr>
            </w:pPr>
            <w:r w:rsidRPr="00D62DB6">
              <w:rPr>
                <w:b/>
                <w:bCs/>
              </w:rPr>
              <w:lastRenderedPageBreak/>
              <w:t xml:space="preserve">Support for </w:t>
            </w:r>
            <w:r w:rsidR="00685FFF" w:rsidRPr="00D62DB6">
              <w:rPr>
                <w:b/>
                <w:bCs/>
              </w:rPr>
              <w:t xml:space="preserve">designated </w:t>
            </w:r>
            <w:r w:rsidRPr="00D62DB6">
              <w:rPr>
                <w:b/>
                <w:bCs/>
              </w:rPr>
              <w:t>teachers new to a campus</w:t>
            </w:r>
          </w:p>
          <w:p w14:paraId="2FDE3DD8" w14:textId="77777777" w:rsidR="00ED72A6" w:rsidRPr="00ED72A6" w:rsidRDefault="00ED72A6" w:rsidP="00ED72A6">
            <w:pPr>
              <w:rPr>
                <w:b/>
                <w:bCs/>
              </w:rPr>
            </w:pPr>
          </w:p>
          <w:p w14:paraId="7BF756BE" w14:textId="19930D3B" w:rsidR="00ED72A6" w:rsidRPr="00ED72A6" w:rsidRDefault="00ED72A6" w:rsidP="00ED72A6">
            <w:pPr>
              <w:rPr>
                <w:i/>
                <w:iCs/>
              </w:rPr>
            </w:pPr>
          </w:p>
        </w:tc>
        <w:tc>
          <w:tcPr>
            <w:tcW w:w="2665"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5AC7AE9C" w14:textId="77777777" w:rsidR="00ED72A6" w:rsidRPr="00ED72A6" w:rsidRDefault="00ED72A6" w:rsidP="00ED72A6">
            <w:pPr>
              <w:rPr>
                <w:sz w:val="20"/>
                <w:szCs w:val="20"/>
              </w:rPr>
            </w:pPr>
            <w:r w:rsidRPr="00ED72A6">
              <w:rPr>
                <w:sz w:val="20"/>
                <w:szCs w:val="20"/>
              </w:rPr>
              <w:t>District has no specific plans to support designated teachers new to a campus</w:t>
            </w:r>
          </w:p>
        </w:tc>
        <w:tc>
          <w:tcPr>
            <w:tcW w:w="297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9826C9E" w14:textId="43EC62C5" w:rsidR="00ED72A6" w:rsidRPr="00ED72A6" w:rsidRDefault="00ED72A6" w:rsidP="00ED72A6">
            <w:pPr>
              <w:rPr>
                <w:sz w:val="20"/>
                <w:szCs w:val="20"/>
              </w:rPr>
            </w:pPr>
            <w:r w:rsidRPr="00ED72A6">
              <w:rPr>
                <w:sz w:val="20"/>
                <w:szCs w:val="20"/>
              </w:rPr>
              <w:t xml:space="preserve">District provides some support to designated teachers new to a </w:t>
            </w:r>
            <w:proofErr w:type="gramStart"/>
            <w:r w:rsidRPr="00ED72A6">
              <w:rPr>
                <w:sz w:val="20"/>
                <w:szCs w:val="20"/>
              </w:rPr>
              <w:t>campus, but</w:t>
            </w:r>
            <w:proofErr w:type="gramEnd"/>
            <w:r w:rsidRPr="00ED72A6">
              <w:rPr>
                <w:sz w:val="20"/>
                <w:szCs w:val="20"/>
              </w:rPr>
              <w:t xml:space="preserve"> does not provide a teacher mentor and/or support is limited to initial contact at the beginning of the year only</w:t>
            </w:r>
            <w:r w:rsidR="002E7291">
              <w:rPr>
                <w:sz w:val="20"/>
                <w:szCs w:val="20"/>
              </w:rPr>
              <w:t>. No</w:t>
            </w:r>
            <w:r w:rsidRPr="00ED72A6">
              <w:rPr>
                <w:sz w:val="20"/>
                <w:szCs w:val="20"/>
              </w:rPr>
              <w:t xml:space="preserve"> ongoing support is evident</w:t>
            </w:r>
            <w:r w:rsidR="002E7291">
              <w:rPr>
                <w:sz w:val="20"/>
                <w:szCs w:val="20"/>
              </w:rPr>
              <w:t xml:space="preserve">. </w:t>
            </w:r>
          </w:p>
        </w:tc>
        <w:tc>
          <w:tcPr>
            <w:tcW w:w="693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64BF186A" w14:textId="7CA9D6E9" w:rsidR="00ED72A6" w:rsidRPr="003D7D3E" w:rsidRDefault="00ED72A6" w:rsidP="00ED72A6">
            <w:pPr>
              <w:rPr>
                <w:sz w:val="20"/>
                <w:szCs w:val="20"/>
              </w:rPr>
            </w:pPr>
            <w:r w:rsidRPr="00ED72A6">
              <w:rPr>
                <w:sz w:val="20"/>
                <w:szCs w:val="20"/>
              </w:rPr>
              <w:t>District has a detailed plan to support designated teachers who are new to a campus in order to ensure that they are as highly effective at the new campus as they were at the campus where they earned their designation. The support plan includes being assigned a mentor teacher at the new campus who is a highly effective teacher, and paid time for both the mentor teacher and the designated teacher new to the campus to meet at least monthly. All designated teachers new to the same campus receive support as group, in addition to individual support</w:t>
            </w:r>
            <w:r w:rsidR="00C816E1" w:rsidRPr="003371F6">
              <w:rPr>
                <w:sz w:val="20"/>
                <w:szCs w:val="20"/>
              </w:rPr>
              <w:t>. Support is provided throughout the entire school year</w:t>
            </w:r>
            <w:r w:rsidR="004F1EF5" w:rsidRPr="003371F6">
              <w:rPr>
                <w:sz w:val="20"/>
                <w:szCs w:val="20"/>
              </w:rPr>
              <w:t xml:space="preserve"> in addition to initial support at the beginning of the year</w:t>
            </w:r>
            <w:r w:rsidR="002E7291">
              <w:rPr>
                <w:sz w:val="20"/>
                <w:szCs w:val="20"/>
              </w:rPr>
              <w:t>.</w:t>
            </w:r>
          </w:p>
        </w:tc>
      </w:tr>
      <w:tr w:rsidR="004045C6" w:rsidRPr="00ED72A6" w14:paraId="53A037CB" w14:textId="77777777" w:rsidTr="00342C78">
        <w:tc>
          <w:tcPr>
            <w:tcW w:w="2100"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36E64F8D" w14:textId="2D0546D7" w:rsidR="004045C6" w:rsidRPr="00D62DB6" w:rsidRDefault="004045C6" w:rsidP="00D62DB6">
            <w:pPr>
              <w:rPr>
                <w:b/>
                <w:bCs/>
              </w:rPr>
            </w:pPr>
            <w:r w:rsidRPr="00D62DB6">
              <w:rPr>
                <w:b/>
                <w:bCs/>
              </w:rPr>
              <w:t>Plan to recruit highly effective teachers</w:t>
            </w:r>
            <w:r w:rsidR="00E9153A" w:rsidRPr="00D62DB6">
              <w:rPr>
                <w:b/>
                <w:bCs/>
              </w:rPr>
              <w:t>/designated teachers</w:t>
            </w:r>
          </w:p>
        </w:tc>
        <w:tc>
          <w:tcPr>
            <w:tcW w:w="2665"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3C86B03C" w14:textId="0B8C5F6E" w:rsidR="004045C6" w:rsidRPr="003371F6" w:rsidRDefault="00E9153A" w:rsidP="00ED72A6">
            <w:pPr>
              <w:rPr>
                <w:sz w:val="20"/>
                <w:szCs w:val="20"/>
              </w:rPr>
            </w:pPr>
            <w:r>
              <w:rPr>
                <w:sz w:val="20"/>
                <w:szCs w:val="20"/>
              </w:rPr>
              <w:t>District does not have a plan to recruit highly effective teaches</w:t>
            </w:r>
          </w:p>
        </w:tc>
        <w:tc>
          <w:tcPr>
            <w:tcW w:w="297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1623C9BD" w14:textId="528A24BA" w:rsidR="004045C6" w:rsidRPr="003371F6" w:rsidRDefault="003E5D5F" w:rsidP="00ED72A6">
            <w:pPr>
              <w:rPr>
                <w:sz w:val="20"/>
                <w:szCs w:val="20"/>
              </w:rPr>
            </w:pPr>
            <w:r>
              <w:rPr>
                <w:sz w:val="20"/>
                <w:szCs w:val="20"/>
              </w:rPr>
              <w:t>District has minimal plans in place to recruit highly effective/designated teachers</w:t>
            </w:r>
          </w:p>
        </w:tc>
        <w:tc>
          <w:tcPr>
            <w:tcW w:w="693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75FF0643" w14:textId="5ED014BF" w:rsidR="004045C6" w:rsidRPr="003371F6" w:rsidRDefault="00FD614E" w:rsidP="00ED72A6">
            <w:pPr>
              <w:rPr>
                <w:sz w:val="20"/>
                <w:szCs w:val="20"/>
              </w:rPr>
            </w:pPr>
            <w:r>
              <w:rPr>
                <w:sz w:val="20"/>
                <w:szCs w:val="20"/>
              </w:rPr>
              <w:t xml:space="preserve">District has a plan for how to use </w:t>
            </w:r>
            <w:r w:rsidR="0039654C">
              <w:rPr>
                <w:sz w:val="20"/>
                <w:szCs w:val="20"/>
              </w:rPr>
              <w:t>their local teacher designation system as a means to recruit highly effective teachers</w:t>
            </w:r>
            <w:r w:rsidR="007250B9">
              <w:rPr>
                <w:sz w:val="20"/>
                <w:szCs w:val="20"/>
              </w:rPr>
              <w:t xml:space="preserve"> and support them to earn a designation. District has a plan for how to </w:t>
            </w:r>
            <w:r w:rsidR="00EA3B42">
              <w:rPr>
                <w:sz w:val="20"/>
                <w:szCs w:val="20"/>
              </w:rPr>
              <w:t>recruit teachers</w:t>
            </w:r>
            <w:r w:rsidR="009675D6">
              <w:rPr>
                <w:sz w:val="20"/>
                <w:szCs w:val="20"/>
              </w:rPr>
              <w:t>.</w:t>
            </w:r>
          </w:p>
        </w:tc>
      </w:tr>
      <w:tr w:rsidR="00FE369F" w:rsidRPr="00ED72A6" w14:paraId="3A2B3126" w14:textId="77777777" w:rsidTr="00342C78">
        <w:tc>
          <w:tcPr>
            <w:tcW w:w="2100"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05CC1284" w14:textId="371072C9" w:rsidR="00FE369F" w:rsidRPr="00D62DB6" w:rsidRDefault="00FE369F" w:rsidP="00D62DB6">
            <w:pPr>
              <w:rPr>
                <w:b/>
                <w:bCs/>
              </w:rPr>
            </w:pPr>
            <w:r w:rsidRPr="00D62DB6">
              <w:rPr>
                <w:b/>
                <w:bCs/>
              </w:rPr>
              <w:t>Plan to retain designated teachers</w:t>
            </w:r>
          </w:p>
          <w:p w14:paraId="1DAD2B81" w14:textId="0DD6D593" w:rsidR="00FE369F" w:rsidRPr="003371F6" w:rsidRDefault="00FE369F" w:rsidP="00D62DB6">
            <w:pPr>
              <w:rPr>
                <w:b/>
                <w:bCs/>
              </w:rPr>
            </w:pPr>
          </w:p>
        </w:tc>
        <w:tc>
          <w:tcPr>
            <w:tcW w:w="2665"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176ABC52" w14:textId="4008B951" w:rsidR="00FE369F" w:rsidRPr="003371F6" w:rsidRDefault="005D17FD" w:rsidP="00ED72A6">
            <w:pPr>
              <w:rPr>
                <w:sz w:val="20"/>
                <w:szCs w:val="20"/>
              </w:rPr>
            </w:pPr>
            <w:r w:rsidRPr="003371F6">
              <w:rPr>
                <w:sz w:val="20"/>
                <w:szCs w:val="20"/>
              </w:rPr>
              <w:t>District does not have a plan to support and retain designated teachers</w:t>
            </w:r>
          </w:p>
        </w:tc>
        <w:tc>
          <w:tcPr>
            <w:tcW w:w="297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74C76210" w14:textId="326BB25E" w:rsidR="00FE369F" w:rsidRPr="003371F6" w:rsidRDefault="005D17FD" w:rsidP="00ED72A6">
            <w:pPr>
              <w:rPr>
                <w:sz w:val="20"/>
                <w:szCs w:val="20"/>
              </w:rPr>
            </w:pPr>
            <w:r w:rsidRPr="003371F6">
              <w:rPr>
                <w:sz w:val="20"/>
                <w:szCs w:val="20"/>
              </w:rPr>
              <w:t>District</w:t>
            </w:r>
            <w:r w:rsidR="007C44F3" w:rsidRPr="003371F6">
              <w:rPr>
                <w:sz w:val="20"/>
                <w:szCs w:val="20"/>
              </w:rPr>
              <w:t xml:space="preserve"> has minimal plans in place to support and retain designated teachers</w:t>
            </w:r>
          </w:p>
        </w:tc>
        <w:tc>
          <w:tcPr>
            <w:tcW w:w="693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2009FC92" w14:textId="51EEA75B" w:rsidR="00B4165B" w:rsidRPr="003D7D3E" w:rsidRDefault="00D31E2F" w:rsidP="00ED72A6">
            <w:pPr>
              <w:rPr>
                <w:sz w:val="20"/>
                <w:szCs w:val="20"/>
              </w:rPr>
            </w:pPr>
            <w:r>
              <w:rPr>
                <w:sz w:val="20"/>
                <w:szCs w:val="20"/>
              </w:rPr>
              <w:t>District has a plan</w:t>
            </w:r>
            <w:r w:rsidR="00010BEE">
              <w:rPr>
                <w:sz w:val="20"/>
                <w:szCs w:val="20"/>
              </w:rPr>
              <w:t xml:space="preserve"> to retain designated teachers including the development of teacher career pathways </w:t>
            </w:r>
          </w:p>
        </w:tc>
      </w:tr>
      <w:tr w:rsidR="00506299" w:rsidRPr="00ED72A6" w14:paraId="5BCCDD71" w14:textId="77777777" w:rsidTr="00342C78">
        <w:tc>
          <w:tcPr>
            <w:tcW w:w="2100"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738C9143" w14:textId="1E2B07CD" w:rsidR="00506299" w:rsidRPr="00D62DB6" w:rsidRDefault="004045C6" w:rsidP="00D62DB6">
            <w:pPr>
              <w:rPr>
                <w:b/>
                <w:bCs/>
              </w:rPr>
            </w:pPr>
            <w:r w:rsidRPr="00D62DB6">
              <w:rPr>
                <w:b/>
                <w:bCs/>
              </w:rPr>
              <w:t xml:space="preserve">Plan </w:t>
            </w:r>
            <w:r w:rsidR="00E319D4" w:rsidRPr="00D62DB6">
              <w:rPr>
                <w:b/>
                <w:bCs/>
              </w:rPr>
              <w:t xml:space="preserve">for the equitable distribution of </w:t>
            </w:r>
            <w:r w:rsidR="001913E0" w:rsidRPr="00D62DB6">
              <w:rPr>
                <w:b/>
                <w:bCs/>
              </w:rPr>
              <w:t>designated</w:t>
            </w:r>
            <w:r w:rsidR="00E319D4" w:rsidRPr="00D62DB6">
              <w:rPr>
                <w:b/>
                <w:bCs/>
              </w:rPr>
              <w:t xml:space="preserve"> teachers</w:t>
            </w:r>
          </w:p>
        </w:tc>
        <w:tc>
          <w:tcPr>
            <w:tcW w:w="2665"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72ADB91D" w14:textId="2B413553" w:rsidR="00506299" w:rsidRPr="003371F6" w:rsidRDefault="00E9153A" w:rsidP="00ED72A6">
            <w:pPr>
              <w:rPr>
                <w:sz w:val="20"/>
                <w:szCs w:val="20"/>
              </w:rPr>
            </w:pPr>
            <w:r>
              <w:rPr>
                <w:sz w:val="20"/>
                <w:szCs w:val="20"/>
              </w:rPr>
              <w:t xml:space="preserve">District does not have a plan for the equitable distribution of </w:t>
            </w:r>
            <w:r w:rsidR="005270BF">
              <w:rPr>
                <w:sz w:val="20"/>
                <w:szCs w:val="20"/>
              </w:rPr>
              <w:t>designated teachers</w:t>
            </w:r>
          </w:p>
        </w:tc>
        <w:tc>
          <w:tcPr>
            <w:tcW w:w="297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0DA37E75" w14:textId="2C4715FB" w:rsidR="00506299" w:rsidRPr="003371F6" w:rsidRDefault="00126BA7" w:rsidP="00ED72A6">
            <w:pPr>
              <w:rPr>
                <w:sz w:val="20"/>
                <w:szCs w:val="20"/>
              </w:rPr>
            </w:pPr>
            <w:r>
              <w:rPr>
                <w:sz w:val="20"/>
                <w:szCs w:val="20"/>
              </w:rPr>
              <w:t>District has minimal plans in for the equitable distribution of highly effective/designated teachers</w:t>
            </w:r>
          </w:p>
        </w:tc>
        <w:tc>
          <w:tcPr>
            <w:tcW w:w="693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5436F7CA" w14:textId="64681A04" w:rsidR="00506299" w:rsidRPr="003371F6" w:rsidRDefault="003827F5" w:rsidP="00ED72A6">
            <w:pPr>
              <w:rPr>
                <w:sz w:val="20"/>
                <w:szCs w:val="20"/>
              </w:rPr>
            </w:pPr>
            <w:r>
              <w:rPr>
                <w:sz w:val="20"/>
                <w:szCs w:val="20"/>
              </w:rPr>
              <w:t>District has a plan for how to distribute designated teachers across the district</w:t>
            </w:r>
            <w:r w:rsidR="00850F1F">
              <w:rPr>
                <w:sz w:val="20"/>
                <w:szCs w:val="20"/>
              </w:rPr>
              <w:t xml:space="preserve"> and across</w:t>
            </w:r>
            <w:r w:rsidR="00203DA8">
              <w:rPr>
                <w:sz w:val="20"/>
                <w:szCs w:val="20"/>
              </w:rPr>
              <w:t xml:space="preserve"> highest needs positions</w:t>
            </w:r>
            <w:r w:rsidR="007F5CB5">
              <w:rPr>
                <w:sz w:val="20"/>
                <w:szCs w:val="20"/>
              </w:rPr>
              <w:t>/subjects/grade levels</w:t>
            </w:r>
            <w:r>
              <w:rPr>
                <w:sz w:val="20"/>
                <w:szCs w:val="20"/>
              </w:rPr>
              <w:t xml:space="preserve"> in a</w:t>
            </w:r>
            <w:r w:rsidR="00DE6871">
              <w:rPr>
                <w:sz w:val="20"/>
                <w:szCs w:val="20"/>
              </w:rPr>
              <w:t xml:space="preserve">n equitable manner so that the </w:t>
            </w:r>
            <w:r w:rsidR="009C15D9">
              <w:rPr>
                <w:sz w:val="20"/>
                <w:szCs w:val="20"/>
              </w:rPr>
              <w:t>students who have the greatest needs have access to the most effective teachers</w:t>
            </w:r>
          </w:p>
        </w:tc>
      </w:tr>
      <w:tr w:rsidR="00ED72A6" w:rsidRPr="00ED72A6" w14:paraId="6D5BF227" w14:textId="77777777" w:rsidTr="00342C78">
        <w:tc>
          <w:tcPr>
            <w:tcW w:w="2100"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1CD26D02" w14:textId="736230C1" w:rsidR="00ED72A6" w:rsidRPr="00D62DB6" w:rsidRDefault="00ED72A6" w:rsidP="00D62DB6">
            <w:pPr>
              <w:rPr>
                <w:b/>
                <w:bCs/>
              </w:rPr>
            </w:pPr>
            <w:r w:rsidRPr="00D62DB6">
              <w:rPr>
                <w:b/>
                <w:bCs/>
              </w:rPr>
              <w:t>Use of data on highly effective teachers to improve/rethink district systems</w:t>
            </w:r>
          </w:p>
        </w:tc>
        <w:tc>
          <w:tcPr>
            <w:tcW w:w="2665"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4FACB53A" w14:textId="77777777" w:rsidR="00ED72A6" w:rsidRPr="00ED72A6" w:rsidRDefault="00ED72A6" w:rsidP="00ED72A6">
            <w:pPr>
              <w:rPr>
                <w:sz w:val="20"/>
                <w:szCs w:val="20"/>
              </w:rPr>
            </w:pPr>
            <w:r w:rsidRPr="00ED72A6">
              <w:rPr>
                <w:sz w:val="20"/>
                <w:szCs w:val="20"/>
              </w:rPr>
              <w:t>District leaders do not review data on highly effective teachers</w:t>
            </w:r>
          </w:p>
        </w:tc>
        <w:tc>
          <w:tcPr>
            <w:tcW w:w="297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2FB14132" w14:textId="77777777" w:rsidR="00ED72A6" w:rsidRPr="00ED72A6" w:rsidRDefault="00ED72A6" w:rsidP="00ED72A6">
            <w:pPr>
              <w:rPr>
                <w:sz w:val="20"/>
                <w:szCs w:val="20"/>
              </w:rPr>
            </w:pPr>
            <w:r w:rsidRPr="00ED72A6">
              <w:rPr>
                <w:sz w:val="20"/>
                <w:szCs w:val="20"/>
              </w:rPr>
              <w:t xml:space="preserve">District leaders review data on highly effective teachers, but do not use the data to inform staffing, professional development or equity of access to effective teachers </w:t>
            </w:r>
          </w:p>
        </w:tc>
        <w:tc>
          <w:tcPr>
            <w:tcW w:w="693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43960573" w14:textId="05A57CFD" w:rsidR="00ED72A6" w:rsidRPr="00E1371B" w:rsidRDefault="00ED72A6" w:rsidP="00ED72A6">
            <w:pPr>
              <w:rPr>
                <w:sz w:val="20"/>
                <w:szCs w:val="20"/>
              </w:rPr>
            </w:pPr>
            <w:r w:rsidRPr="4985CC28">
              <w:rPr>
                <w:sz w:val="20"/>
                <w:szCs w:val="20"/>
              </w:rPr>
              <w:t xml:space="preserve">District leaders use </w:t>
            </w:r>
            <w:r w:rsidR="00090520">
              <w:rPr>
                <w:sz w:val="20"/>
                <w:szCs w:val="20"/>
              </w:rPr>
              <w:t xml:space="preserve">a variety of </w:t>
            </w:r>
            <w:r w:rsidRPr="4985CC28">
              <w:rPr>
                <w:sz w:val="20"/>
                <w:szCs w:val="20"/>
              </w:rPr>
              <w:t>data on highly effective teachers to inform staffing plans, professional development</w:t>
            </w:r>
            <w:r w:rsidR="00010BEE">
              <w:rPr>
                <w:sz w:val="20"/>
                <w:szCs w:val="20"/>
              </w:rPr>
              <w:t xml:space="preserve">. </w:t>
            </w:r>
            <w:r w:rsidR="008C44F4">
              <w:rPr>
                <w:sz w:val="20"/>
                <w:szCs w:val="20"/>
              </w:rPr>
              <w:t>Distric</w:t>
            </w:r>
            <w:r w:rsidR="0016425D">
              <w:rPr>
                <w:sz w:val="20"/>
                <w:szCs w:val="20"/>
              </w:rPr>
              <w:t xml:space="preserve">t has a plan to </w:t>
            </w:r>
            <w:r w:rsidR="009D1891">
              <w:rPr>
                <w:sz w:val="20"/>
                <w:szCs w:val="20"/>
              </w:rPr>
              <w:t>us</w:t>
            </w:r>
            <w:r w:rsidR="006A05E1">
              <w:rPr>
                <w:sz w:val="20"/>
                <w:szCs w:val="20"/>
              </w:rPr>
              <w:t xml:space="preserve">e </w:t>
            </w:r>
            <w:r w:rsidR="009D1891">
              <w:rPr>
                <w:sz w:val="20"/>
                <w:szCs w:val="20"/>
              </w:rPr>
              <w:t>teacher observation and student growth</w:t>
            </w:r>
            <w:r w:rsidR="0043700D">
              <w:rPr>
                <w:sz w:val="20"/>
                <w:szCs w:val="20"/>
              </w:rPr>
              <w:t xml:space="preserve"> data</w:t>
            </w:r>
            <w:r w:rsidR="009D1891">
              <w:rPr>
                <w:sz w:val="20"/>
                <w:szCs w:val="20"/>
              </w:rPr>
              <w:t xml:space="preserve"> </w:t>
            </w:r>
            <w:r w:rsidR="006A05E1">
              <w:rPr>
                <w:sz w:val="20"/>
                <w:szCs w:val="20"/>
              </w:rPr>
              <w:t>to improve district systems</w:t>
            </w:r>
          </w:p>
        </w:tc>
      </w:tr>
      <w:tr w:rsidR="00ED72A6" w:rsidRPr="00ED72A6" w14:paraId="7EA29D8F" w14:textId="77777777" w:rsidTr="00342C78">
        <w:tc>
          <w:tcPr>
            <w:tcW w:w="2100"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7B65B927" w14:textId="6C02874B" w:rsidR="00ED72A6" w:rsidRPr="00D62DB6" w:rsidRDefault="00ED72A6" w:rsidP="00D62DB6">
            <w:pPr>
              <w:rPr>
                <w:b/>
                <w:bCs/>
              </w:rPr>
            </w:pPr>
            <w:r w:rsidRPr="00D62DB6">
              <w:rPr>
                <w:b/>
                <w:bCs/>
              </w:rPr>
              <w:t>Internal program evaluation</w:t>
            </w:r>
          </w:p>
          <w:p w14:paraId="3D466BFD" w14:textId="4718120C" w:rsidR="00ED72A6" w:rsidRPr="00ED72A6" w:rsidRDefault="00ED72A6" w:rsidP="00D62DB6">
            <w:pPr>
              <w:rPr>
                <w:i/>
                <w:iCs/>
              </w:rPr>
            </w:pPr>
          </w:p>
        </w:tc>
        <w:tc>
          <w:tcPr>
            <w:tcW w:w="2665"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51A99663" w14:textId="77777777" w:rsidR="00ED72A6" w:rsidRPr="00ED72A6" w:rsidRDefault="00ED72A6" w:rsidP="00ED72A6">
            <w:pPr>
              <w:rPr>
                <w:sz w:val="20"/>
                <w:szCs w:val="20"/>
              </w:rPr>
            </w:pPr>
            <w:r w:rsidRPr="00ED72A6">
              <w:rPr>
                <w:sz w:val="20"/>
                <w:szCs w:val="20"/>
              </w:rPr>
              <w:t>District does not have an internal program evaluation for TIA</w:t>
            </w:r>
          </w:p>
        </w:tc>
        <w:tc>
          <w:tcPr>
            <w:tcW w:w="297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71FB26C2" w14:textId="77777777" w:rsidR="00ED72A6" w:rsidRPr="00ED72A6" w:rsidRDefault="00ED72A6" w:rsidP="00ED72A6">
            <w:pPr>
              <w:rPr>
                <w:sz w:val="20"/>
                <w:szCs w:val="20"/>
              </w:rPr>
            </w:pPr>
            <w:r w:rsidRPr="00ED72A6">
              <w:rPr>
                <w:sz w:val="20"/>
                <w:szCs w:val="20"/>
              </w:rPr>
              <w:t>District conducts a limited internal program evaluation with few data sources, less than annually</w:t>
            </w:r>
          </w:p>
        </w:tc>
        <w:tc>
          <w:tcPr>
            <w:tcW w:w="693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79B3B7E4" w14:textId="5206A0B5" w:rsidR="00ED72A6" w:rsidRPr="001F21B7" w:rsidRDefault="00ED72A6" w:rsidP="00ED72A6">
            <w:pPr>
              <w:rPr>
                <w:sz w:val="20"/>
                <w:szCs w:val="20"/>
              </w:rPr>
            </w:pPr>
            <w:r w:rsidRPr="00ED72A6">
              <w:rPr>
                <w:sz w:val="20"/>
                <w:szCs w:val="20"/>
              </w:rPr>
              <w:t>District conducts a thorough internal program evaluation</w:t>
            </w:r>
            <w:r w:rsidR="00685FFF">
              <w:rPr>
                <w:sz w:val="20"/>
                <w:szCs w:val="20"/>
              </w:rPr>
              <w:t xml:space="preserve"> </w:t>
            </w:r>
            <w:r w:rsidR="00685FFF" w:rsidRPr="001F21B7">
              <w:rPr>
                <w:sz w:val="20"/>
                <w:szCs w:val="20"/>
              </w:rPr>
              <w:t>at least annually</w:t>
            </w:r>
            <w:r w:rsidRPr="00ED72A6">
              <w:rPr>
                <w:sz w:val="20"/>
                <w:szCs w:val="20"/>
              </w:rPr>
              <w:t xml:space="preserve"> to determine the effectiveness of their TIA local teacher designation system, using multiple data sources, annually</w:t>
            </w:r>
            <w:r w:rsidR="00AF13AA">
              <w:rPr>
                <w:sz w:val="20"/>
                <w:szCs w:val="20"/>
              </w:rPr>
              <w:t xml:space="preserve">. </w:t>
            </w:r>
            <w:r w:rsidR="001F21B7" w:rsidRPr="001F21B7">
              <w:rPr>
                <w:sz w:val="20"/>
                <w:szCs w:val="20"/>
              </w:rPr>
              <w:t>District encourages participation in TIA program evaluation surveys, and local program evaluation surveys and uses the feedback for continuous improvement</w:t>
            </w:r>
            <w:r w:rsidR="00197792">
              <w:rPr>
                <w:sz w:val="20"/>
                <w:szCs w:val="20"/>
              </w:rPr>
              <w:t>. District communicates the results of the program evaluation survey annually.</w:t>
            </w:r>
          </w:p>
        </w:tc>
      </w:tr>
      <w:tr w:rsidR="001562E4" w:rsidRPr="00ED72A6" w14:paraId="0161054A" w14:textId="77777777" w:rsidTr="00342C78">
        <w:trPr>
          <w:trHeight w:val="1556"/>
        </w:trPr>
        <w:tc>
          <w:tcPr>
            <w:tcW w:w="2100" w:type="dxa"/>
            <w:tcBorders>
              <w:top w:val="single" w:sz="4" w:space="0" w:color="FFFFFF"/>
              <w:left w:val="single" w:sz="4" w:space="0" w:color="FFFFFF"/>
              <w:bottom w:val="single" w:sz="4" w:space="0" w:color="FFFFFF"/>
              <w:right w:val="single" w:sz="4" w:space="0" w:color="FFFFFF"/>
            </w:tcBorders>
            <w:shd w:val="clear" w:color="auto" w:fill="DEEAF6" w:themeFill="accent5" w:themeFillTint="33"/>
          </w:tcPr>
          <w:p w14:paraId="24DAEA63" w14:textId="14FE68AA" w:rsidR="001562E4" w:rsidRPr="00D62DB6" w:rsidRDefault="001562E4" w:rsidP="00D62DB6">
            <w:pPr>
              <w:rPr>
                <w:b/>
                <w:bCs/>
              </w:rPr>
            </w:pPr>
            <w:r w:rsidRPr="00D62DB6">
              <w:rPr>
                <w:b/>
                <w:bCs/>
              </w:rPr>
              <w:lastRenderedPageBreak/>
              <w:t>Data An</w:t>
            </w:r>
            <w:r w:rsidR="007B241A" w:rsidRPr="00D62DB6">
              <w:rPr>
                <w:b/>
                <w:bCs/>
              </w:rPr>
              <w:t>alysis and Submission</w:t>
            </w:r>
          </w:p>
        </w:tc>
        <w:tc>
          <w:tcPr>
            <w:tcW w:w="2665" w:type="dxa"/>
            <w:tcBorders>
              <w:top w:val="single" w:sz="4" w:space="0" w:color="FFFFFF"/>
              <w:left w:val="single" w:sz="4" w:space="0" w:color="FFFFFF"/>
              <w:bottom w:val="single" w:sz="4" w:space="0" w:color="FFFFFF"/>
              <w:right w:val="single" w:sz="4" w:space="0" w:color="FFFFFF"/>
            </w:tcBorders>
            <w:shd w:val="clear" w:color="auto" w:fill="FCDFD7" w:themeFill="accent2" w:themeFillTint="33"/>
          </w:tcPr>
          <w:p w14:paraId="7D5EAC2E" w14:textId="342058A5" w:rsidR="001562E4" w:rsidRPr="00ED72A6" w:rsidRDefault="000E583B" w:rsidP="00ED72A6">
            <w:pPr>
              <w:rPr>
                <w:sz w:val="20"/>
                <w:szCs w:val="20"/>
              </w:rPr>
            </w:pPr>
            <w:r>
              <w:rPr>
                <w:sz w:val="20"/>
                <w:szCs w:val="20"/>
              </w:rPr>
              <w:t xml:space="preserve">District does </w:t>
            </w:r>
            <w:r w:rsidR="00A4523E">
              <w:rPr>
                <w:sz w:val="20"/>
                <w:szCs w:val="20"/>
              </w:rPr>
              <w:t>not</w:t>
            </w:r>
            <w:r w:rsidR="00351CF9">
              <w:rPr>
                <w:sz w:val="20"/>
                <w:szCs w:val="20"/>
              </w:rPr>
              <w:t xml:space="preserve"> </w:t>
            </w:r>
            <w:r w:rsidR="00C91891">
              <w:rPr>
                <w:sz w:val="20"/>
                <w:szCs w:val="20"/>
              </w:rPr>
              <w:t>have any assig</w:t>
            </w:r>
            <w:r w:rsidR="00D3215D">
              <w:rPr>
                <w:sz w:val="20"/>
                <w:szCs w:val="20"/>
              </w:rPr>
              <w:t>ned staff positions</w:t>
            </w:r>
            <w:r w:rsidR="003B1FD1">
              <w:rPr>
                <w:sz w:val="20"/>
                <w:szCs w:val="20"/>
              </w:rPr>
              <w:t xml:space="preserve"> </w:t>
            </w:r>
            <w:r w:rsidR="00211220">
              <w:rPr>
                <w:sz w:val="20"/>
                <w:szCs w:val="20"/>
              </w:rPr>
              <w:t xml:space="preserve">to </w:t>
            </w:r>
            <w:r w:rsidR="00FD4B60">
              <w:rPr>
                <w:sz w:val="20"/>
                <w:szCs w:val="20"/>
              </w:rPr>
              <w:t xml:space="preserve">track </w:t>
            </w:r>
            <w:r w:rsidR="00D26039">
              <w:rPr>
                <w:sz w:val="20"/>
                <w:szCs w:val="20"/>
              </w:rPr>
              <w:t>observation and student growth data and/or the district</w:t>
            </w:r>
            <w:r w:rsidR="00A55FD4">
              <w:rPr>
                <w:sz w:val="20"/>
                <w:szCs w:val="20"/>
              </w:rPr>
              <w:t xml:space="preserve"> does not</w:t>
            </w:r>
            <w:r w:rsidR="00207588">
              <w:rPr>
                <w:sz w:val="20"/>
                <w:szCs w:val="20"/>
              </w:rPr>
              <w:t xml:space="preserve"> monitor </w:t>
            </w:r>
            <w:r w:rsidR="002A3B25">
              <w:rPr>
                <w:sz w:val="20"/>
                <w:szCs w:val="20"/>
              </w:rPr>
              <w:t>the movement of designated teachers or the eligibil</w:t>
            </w:r>
            <w:r w:rsidR="00241D1C">
              <w:rPr>
                <w:sz w:val="20"/>
                <w:szCs w:val="20"/>
              </w:rPr>
              <w:t>ity</w:t>
            </w:r>
            <w:r w:rsidR="00152721">
              <w:rPr>
                <w:sz w:val="20"/>
                <w:szCs w:val="20"/>
              </w:rPr>
              <w:t xml:space="preserve"> of teachers to earn a designation</w:t>
            </w:r>
          </w:p>
        </w:tc>
        <w:tc>
          <w:tcPr>
            <w:tcW w:w="2970" w:type="dxa"/>
            <w:tcBorders>
              <w:top w:val="single" w:sz="4" w:space="0" w:color="FFFFFF"/>
              <w:left w:val="single" w:sz="4" w:space="0" w:color="FFFFFF"/>
              <w:bottom w:val="single" w:sz="4" w:space="0" w:color="FFFFFF"/>
              <w:right w:val="single" w:sz="4" w:space="0" w:color="FFFFFF"/>
            </w:tcBorders>
            <w:shd w:val="clear" w:color="auto" w:fill="FDF4D4" w:themeFill="accent6" w:themeFillTint="33"/>
          </w:tcPr>
          <w:p w14:paraId="34006735" w14:textId="3CE6E149" w:rsidR="001562E4" w:rsidRPr="00ED72A6" w:rsidRDefault="00152721" w:rsidP="00ED72A6">
            <w:pPr>
              <w:rPr>
                <w:sz w:val="20"/>
                <w:szCs w:val="20"/>
              </w:rPr>
            </w:pPr>
            <w:r>
              <w:rPr>
                <w:sz w:val="20"/>
                <w:szCs w:val="20"/>
              </w:rPr>
              <w:t xml:space="preserve">District tracks student growth or teacher observation data, but not both. District </w:t>
            </w:r>
            <w:r w:rsidR="00930C7D">
              <w:rPr>
                <w:sz w:val="20"/>
                <w:szCs w:val="20"/>
              </w:rPr>
              <w:t>does mon</w:t>
            </w:r>
            <w:r w:rsidR="00F31CF6">
              <w:rPr>
                <w:sz w:val="20"/>
                <w:szCs w:val="20"/>
              </w:rPr>
              <w:t>itors either eligibility of teachers to earn a designation or the movement/placement of designated teachers, but not both</w:t>
            </w:r>
          </w:p>
        </w:tc>
        <w:tc>
          <w:tcPr>
            <w:tcW w:w="6930" w:type="dxa"/>
            <w:tcBorders>
              <w:top w:val="single" w:sz="4" w:space="0" w:color="FFFFFF"/>
              <w:left w:val="single" w:sz="4" w:space="0" w:color="FFFFFF"/>
              <w:bottom w:val="single" w:sz="4" w:space="0" w:color="FFFFFF"/>
              <w:right w:val="single" w:sz="4" w:space="0" w:color="FFFFFF"/>
            </w:tcBorders>
            <w:shd w:val="clear" w:color="auto" w:fill="E9F4D9" w:themeFill="accent3" w:themeFillTint="33"/>
          </w:tcPr>
          <w:p w14:paraId="0E8437E5" w14:textId="2B4A27CB" w:rsidR="001562E4" w:rsidRPr="00ED72A6" w:rsidRDefault="00D755D8" w:rsidP="00ED72A6">
            <w:pPr>
              <w:rPr>
                <w:sz w:val="20"/>
                <w:szCs w:val="20"/>
              </w:rPr>
            </w:pPr>
            <w:r>
              <w:rPr>
                <w:sz w:val="20"/>
                <w:szCs w:val="20"/>
              </w:rPr>
              <w:t>The district has specific per</w:t>
            </w:r>
            <w:r w:rsidR="00CC13ED">
              <w:rPr>
                <w:sz w:val="20"/>
                <w:szCs w:val="20"/>
              </w:rPr>
              <w:t>sonnel</w:t>
            </w:r>
            <w:r w:rsidR="001A6A66">
              <w:rPr>
                <w:sz w:val="20"/>
                <w:szCs w:val="20"/>
              </w:rPr>
              <w:t xml:space="preserve"> </w:t>
            </w:r>
            <w:r w:rsidR="003B1FD1">
              <w:rPr>
                <w:sz w:val="20"/>
                <w:szCs w:val="20"/>
              </w:rPr>
              <w:t xml:space="preserve">who </w:t>
            </w:r>
            <w:r w:rsidR="001A6A66">
              <w:rPr>
                <w:sz w:val="20"/>
                <w:szCs w:val="20"/>
              </w:rPr>
              <w:t>are responsible for compiling student growth and teacher observation data</w:t>
            </w:r>
            <w:r w:rsidR="00654167">
              <w:rPr>
                <w:sz w:val="20"/>
                <w:szCs w:val="20"/>
              </w:rPr>
              <w:t>, as well as running correlation data</w:t>
            </w:r>
            <w:r w:rsidR="00172665">
              <w:rPr>
                <w:sz w:val="20"/>
                <w:szCs w:val="20"/>
              </w:rPr>
              <w:t xml:space="preserve"> between the two</w:t>
            </w:r>
            <w:r w:rsidR="009D747A">
              <w:rPr>
                <w:sz w:val="20"/>
                <w:szCs w:val="20"/>
              </w:rPr>
              <w:t>. The district has clear procedures in place</w:t>
            </w:r>
            <w:r w:rsidR="000F1D26">
              <w:rPr>
                <w:sz w:val="20"/>
                <w:szCs w:val="20"/>
              </w:rPr>
              <w:t xml:space="preserve"> to</w:t>
            </w:r>
            <w:r w:rsidR="00CE73A8">
              <w:rPr>
                <w:sz w:val="20"/>
                <w:szCs w:val="20"/>
              </w:rPr>
              <w:t xml:space="preserve"> ensure successful data capture during the data capture year</w:t>
            </w:r>
            <w:r w:rsidR="00BE4C82">
              <w:rPr>
                <w:sz w:val="20"/>
                <w:szCs w:val="20"/>
              </w:rPr>
              <w:t xml:space="preserve">. The district </w:t>
            </w:r>
            <w:r w:rsidR="00BC79C5">
              <w:rPr>
                <w:sz w:val="20"/>
                <w:szCs w:val="20"/>
              </w:rPr>
              <w:t>tracks designated teacher placement/movement</w:t>
            </w:r>
            <w:r w:rsidR="00DB0A57">
              <w:rPr>
                <w:sz w:val="20"/>
                <w:szCs w:val="20"/>
              </w:rPr>
              <w:t xml:space="preserve"> </w:t>
            </w:r>
            <w:r w:rsidR="00DF767F">
              <w:rPr>
                <w:sz w:val="20"/>
                <w:szCs w:val="20"/>
              </w:rPr>
              <w:t>and eligibilit</w:t>
            </w:r>
            <w:r w:rsidR="00B134B1">
              <w:rPr>
                <w:sz w:val="20"/>
                <w:szCs w:val="20"/>
              </w:rPr>
              <w:t>y</w:t>
            </w:r>
            <w:r w:rsidR="003F3AE7">
              <w:rPr>
                <w:sz w:val="20"/>
                <w:szCs w:val="20"/>
              </w:rPr>
              <w:t xml:space="preserve"> to earn a designation</w:t>
            </w:r>
            <w:r w:rsidR="00B134B1">
              <w:rPr>
                <w:sz w:val="20"/>
                <w:szCs w:val="20"/>
              </w:rPr>
              <w:t xml:space="preserve"> and there is a clear understanding of how </w:t>
            </w:r>
            <w:r w:rsidR="003F3AE7">
              <w:rPr>
                <w:sz w:val="20"/>
                <w:szCs w:val="20"/>
              </w:rPr>
              <w:t xml:space="preserve">each of these </w:t>
            </w:r>
            <w:r w:rsidR="00AF13AA">
              <w:rPr>
                <w:sz w:val="20"/>
                <w:szCs w:val="20"/>
              </w:rPr>
              <w:t xml:space="preserve">procedures </w:t>
            </w:r>
            <w:r w:rsidR="003F3AE7">
              <w:rPr>
                <w:sz w:val="20"/>
                <w:szCs w:val="20"/>
              </w:rPr>
              <w:t xml:space="preserve">affect </w:t>
            </w:r>
            <w:r w:rsidR="000E583B">
              <w:rPr>
                <w:sz w:val="20"/>
                <w:szCs w:val="20"/>
              </w:rPr>
              <w:t>how the annual allotment is generated.</w:t>
            </w:r>
          </w:p>
        </w:tc>
      </w:tr>
    </w:tbl>
    <w:p w14:paraId="2879AEED" w14:textId="64A3AC0B" w:rsidR="00581971" w:rsidRPr="00ED72A6" w:rsidRDefault="00581971" w:rsidP="00D62DB6">
      <w:pPr>
        <w:spacing w:after="0" w:line="240" w:lineRule="auto"/>
        <w:rPr>
          <w:i/>
          <w:iCs/>
          <w:sz w:val="24"/>
          <w:szCs w:val="24"/>
        </w:rPr>
      </w:pPr>
    </w:p>
    <w:sectPr w:rsidR="00581971" w:rsidRPr="00ED72A6" w:rsidSect="00A313CB">
      <w:headerReference w:type="default" r:id="rId10"/>
      <w:footerReference w:type="default" r:id="rId11"/>
      <w:pgSz w:w="15840" w:h="12240" w:orient="landscape"/>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55EB3" w14:textId="77777777" w:rsidR="002C197D" w:rsidRDefault="002C197D">
      <w:pPr>
        <w:spacing w:after="0" w:line="240" w:lineRule="auto"/>
      </w:pPr>
      <w:r>
        <w:separator/>
      </w:r>
    </w:p>
  </w:endnote>
  <w:endnote w:type="continuationSeparator" w:id="0">
    <w:p w14:paraId="37B3C6DC" w14:textId="77777777" w:rsidR="002C197D" w:rsidRDefault="002C197D">
      <w:pPr>
        <w:spacing w:after="0" w:line="240" w:lineRule="auto"/>
      </w:pPr>
      <w:r>
        <w:continuationSeparator/>
      </w:r>
    </w:p>
  </w:endnote>
  <w:endnote w:type="continuationNotice" w:id="1">
    <w:p w14:paraId="77296D82" w14:textId="77777777" w:rsidR="002C197D" w:rsidRDefault="002C1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B06040202020202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01AC" w14:textId="374322EF" w:rsidR="3E627EB8" w:rsidRDefault="3E627EB8" w:rsidP="3E627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B2C8" w14:textId="77777777" w:rsidR="002C197D" w:rsidRDefault="002C197D">
      <w:pPr>
        <w:spacing w:after="0" w:line="240" w:lineRule="auto"/>
      </w:pPr>
      <w:r>
        <w:separator/>
      </w:r>
    </w:p>
  </w:footnote>
  <w:footnote w:type="continuationSeparator" w:id="0">
    <w:p w14:paraId="68A7471E" w14:textId="77777777" w:rsidR="002C197D" w:rsidRDefault="002C197D">
      <w:pPr>
        <w:spacing w:after="0" w:line="240" w:lineRule="auto"/>
      </w:pPr>
      <w:r>
        <w:continuationSeparator/>
      </w:r>
    </w:p>
  </w:footnote>
  <w:footnote w:type="continuationNotice" w:id="1">
    <w:p w14:paraId="28A3ABAF" w14:textId="77777777" w:rsidR="002C197D" w:rsidRDefault="002C19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6E1F" w14:textId="4858C265" w:rsidR="3E627EB8" w:rsidRDefault="007C09FB" w:rsidP="3E627EB8">
    <w:pPr>
      <w:pStyle w:val="Header"/>
    </w:pPr>
    <w:r>
      <w:rPr>
        <w:noProof/>
      </w:rPr>
      <w:drawing>
        <wp:inline distT="0" distB="0" distL="0" distR="0" wp14:anchorId="1026653A" wp14:editId="17758C7E">
          <wp:extent cx="2606040" cy="681355"/>
          <wp:effectExtent l="0" t="0" r="381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06040" cy="6813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397"/>
    <w:multiLevelType w:val="hybridMultilevel"/>
    <w:tmpl w:val="5C326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D4848"/>
    <w:multiLevelType w:val="hybridMultilevel"/>
    <w:tmpl w:val="22381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7BB3"/>
    <w:multiLevelType w:val="hybridMultilevel"/>
    <w:tmpl w:val="9D24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C4AA7"/>
    <w:multiLevelType w:val="hybridMultilevel"/>
    <w:tmpl w:val="6E702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C0910"/>
    <w:multiLevelType w:val="hybridMultilevel"/>
    <w:tmpl w:val="54F6F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D0B63"/>
    <w:multiLevelType w:val="hybridMultilevel"/>
    <w:tmpl w:val="FC66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00CBE"/>
    <w:multiLevelType w:val="hybridMultilevel"/>
    <w:tmpl w:val="3FB68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90370"/>
    <w:multiLevelType w:val="hybridMultilevel"/>
    <w:tmpl w:val="CB644C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65918"/>
    <w:multiLevelType w:val="hybridMultilevel"/>
    <w:tmpl w:val="7D28F0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F1BDA"/>
    <w:multiLevelType w:val="hybridMultilevel"/>
    <w:tmpl w:val="02B41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20B11"/>
    <w:multiLevelType w:val="hybridMultilevel"/>
    <w:tmpl w:val="B61AB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F90D8C"/>
    <w:multiLevelType w:val="hybridMultilevel"/>
    <w:tmpl w:val="DE04E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8"/>
  </w:num>
  <w:num w:numId="6">
    <w:abstractNumId w:val="4"/>
  </w:num>
  <w:num w:numId="7">
    <w:abstractNumId w:val="3"/>
  </w:num>
  <w:num w:numId="8">
    <w:abstractNumId w:val="10"/>
  </w:num>
  <w:num w:numId="9">
    <w:abstractNumId w:val="9"/>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jQ1NzY3MbA0NjFR0lEKTi0uzszPAykwrAUA+7Ex3iwAAAA="/>
  </w:docVars>
  <w:rsids>
    <w:rsidRoot w:val="00ED72A6"/>
    <w:rsid w:val="00000572"/>
    <w:rsid w:val="00001342"/>
    <w:rsid w:val="00002DCD"/>
    <w:rsid w:val="00004C44"/>
    <w:rsid w:val="00004D3F"/>
    <w:rsid w:val="00010BEE"/>
    <w:rsid w:val="00012991"/>
    <w:rsid w:val="0001390E"/>
    <w:rsid w:val="00014967"/>
    <w:rsid w:val="000150B3"/>
    <w:rsid w:val="00015A22"/>
    <w:rsid w:val="0001635C"/>
    <w:rsid w:val="000163B7"/>
    <w:rsid w:val="00016E7C"/>
    <w:rsid w:val="000174E8"/>
    <w:rsid w:val="000233B8"/>
    <w:rsid w:val="000244FB"/>
    <w:rsid w:val="00027126"/>
    <w:rsid w:val="00027C54"/>
    <w:rsid w:val="0003051B"/>
    <w:rsid w:val="000337B8"/>
    <w:rsid w:val="00033990"/>
    <w:rsid w:val="0003435C"/>
    <w:rsid w:val="000372F4"/>
    <w:rsid w:val="000404D7"/>
    <w:rsid w:val="00041015"/>
    <w:rsid w:val="00043430"/>
    <w:rsid w:val="00043B96"/>
    <w:rsid w:val="0004483B"/>
    <w:rsid w:val="00046ED2"/>
    <w:rsid w:val="000478D3"/>
    <w:rsid w:val="000509A3"/>
    <w:rsid w:val="00051165"/>
    <w:rsid w:val="0005183C"/>
    <w:rsid w:val="00051DEE"/>
    <w:rsid w:val="00055B86"/>
    <w:rsid w:val="00055FA3"/>
    <w:rsid w:val="00056E2F"/>
    <w:rsid w:val="0006151A"/>
    <w:rsid w:val="00061B73"/>
    <w:rsid w:val="00062B89"/>
    <w:rsid w:val="00064111"/>
    <w:rsid w:val="00064A4A"/>
    <w:rsid w:val="0006527B"/>
    <w:rsid w:val="00065B5C"/>
    <w:rsid w:val="000660D3"/>
    <w:rsid w:val="0006704B"/>
    <w:rsid w:val="00070313"/>
    <w:rsid w:val="00070665"/>
    <w:rsid w:val="00070969"/>
    <w:rsid w:val="00071AC7"/>
    <w:rsid w:val="00072C27"/>
    <w:rsid w:val="00072D01"/>
    <w:rsid w:val="00073BA7"/>
    <w:rsid w:val="00074401"/>
    <w:rsid w:val="0008052C"/>
    <w:rsid w:val="00080C7B"/>
    <w:rsid w:val="00081E11"/>
    <w:rsid w:val="00083BCB"/>
    <w:rsid w:val="000858E1"/>
    <w:rsid w:val="0009024F"/>
    <w:rsid w:val="00090520"/>
    <w:rsid w:val="00090FD5"/>
    <w:rsid w:val="00095C6F"/>
    <w:rsid w:val="00096106"/>
    <w:rsid w:val="000961CE"/>
    <w:rsid w:val="000A10EC"/>
    <w:rsid w:val="000A46B2"/>
    <w:rsid w:val="000A53B7"/>
    <w:rsid w:val="000A5EE3"/>
    <w:rsid w:val="000A65E3"/>
    <w:rsid w:val="000A688B"/>
    <w:rsid w:val="000A7965"/>
    <w:rsid w:val="000A7B29"/>
    <w:rsid w:val="000B0DA7"/>
    <w:rsid w:val="000B148F"/>
    <w:rsid w:val="000B375D"/>
    <w:rsid w:val="000B4BAA"/>
    <w:rsid w:val="000B73CF"/>
    <w:rsid w:val="000C20CF"/>
    <w:rsid w:val="000C276E"/>
    <w:rsid w:val="000C50F9"/>
    <w:rsid w:val="000C51AC"/>
    <w:rsid w:val="000D1587"/>
    <w:rsid w:val="000D2966"/>
    <w:rsid w:val="000D2DE9"/>
    <w:rsid w:val="000D2E55"/>
    <w:rsid w:val="000E1C5E"/>
    <w:rsid w:val="000E313D"/>
    <w:rsid w:val="000E4F12"/>
    <w:rsid w:val="000E583B"/>
    <w:rsid w:val="000E5E57"/>
    <w:rsid w:val="000E67AD"/>
    <w:rsid w:val="000F1D26"/>
    <w:rsid w:val="000F401A"/>
    <w:rsid w:val="000F48FA"/>
    <w:rsid w:val="000F4DC8"/>
    <w:rsid w:val="000F7F3E"/>
    <w:rsid w:val="00101828"/>
    <w:rsid w:val="00107335"/>
    <w:rsid w:val="0011152E"/>
    <w:rsid w:val="0011224D"/>
    <w:rsid w:val="0011487C"/>
    <w:rsid w:val="001149B3"/>
    <w:rsid w:val="0011678D"/>
    <w:rsid w:val="001172D3"/>
    <w:rsid w:val="001214D7"/>
    <w:rsid w:val="001227F2"/>
    <w:rsid w:val="00123FD8"/>
    <w:rsid w:val="00124297"/>
    <w:rsid w:val="00125DE8"/>
    <w:rsid w:val="00126BA7"/>
    <w:rsid w:val="00132587"/>
    <w:rsid w:val="0013601E"/>
    <w:rsid w:val="001361F3"/>
    <w:rsid w:val="00136404"/>
    <w:rsid w:val="00136F89"/>
    <w:rsid w:val="00137CC4"/>
    <w:rsid w:val="00142119"/>
    <w:rsid w:val="00143141"/>
    <w:rsid w:val="00145461"/>
    <w:rsid w:val="0014645E"/>
    <w:rsid w:val="001474F7"/>
    <w:rsid w:val="00152721"/>
    <w:rsid w:val="00152DF0"/>
    <w:rsid w:val="00153A78"/>
    <w:rsid w:val="00153D31"/>
    <w:rsid w:val="00155396"/>
    <w:rsid w:val="001562E4"/>
    <w:rsid w:val="00160004"/>
    <w:rsid w:val="00161117"/>
    <w:rsid w:val="0016176A"/>
    <w:rsid w:val="0016425D"/>
    <w:rsid w:val="00165797"/>
    <w:rsid w:val="00166474"/>
    <w:rsid w:val="0016653A"/>
    <w:rsid w:val="001675F8"/>
    <w:rsid w:val="001708F8"/>
    <w:rsid w:val="00171A99"/>
    <w:rsid w:val="00172665"/>
    <w:rsid w:val="00174A5F"/>
    <w:rsid w:val="0017617C"/>
    <w:rsid w:val="001767AB"/>
    <w:rsid w:val="001779C7"/>
    <w:rsid w:val="00180F5A"/>
    <w:rsid w:val="0018160E"/>
    <w:rsid w:val="001819B4"/>
    <w:rsid w:val="00182224"/>
    <w:rsid w:val="001826F3"/>
    <w:rsid w:val="00183ED3"/>
    <w:rsid w:val="001842F0"/>
    <w:rsid w:val="00185975"/>
    <w:rsid w:val="001862B4"/>
    <w:rsid w:val="00186AA0"/>
    <w:rsid w:val="00187AD0"/>
    <w:rsid w:val="00190E2A"/>
    <w:rsid w:val="001913E0"/>
    <w:rsid w:val="00191876"/>
    <w:rsid w:val="001954BF"/>
    <w:rsid w:val="001966FC"/>
    <w:rsid w:val="00196AA2"/>
    <w:rsid w:val="00197792"/>
    <w:rsid w:val="001A133A"/>
    <w:rsid w:val="001A1AC7"/>
    <w:rsid w:val="001A3E6D"/>
    <w:rsid w:val="001A4FB6"/>
    <w:rsid w:val="001A5F34"/>
    <w:rsid w:val="001A65CC"/>
    <w:rsid w:val="001A6A66"/>
    <w:rsid w:val="001B1FCE"/>
    <w:rsid w:val="001B2482"/>
    <w:rsid w:val="001B2C8C"/>
    <w:rsid w:val="001B2FA2"/>
    <w:rsid w:val="001B377A"/>
    <w:rsid w:val="001B395A"/>
    <w:rsid w:val="001B3992"/>
    <w:rsid w:val="001B4AFC"/>
    <w:rsid w:val="001B6C3C"/>
    <w:rsid w:val="001C3F62"/>
    <w:rsid w:val="001C4FDE"/>
    <w:rsid w:val="001C5131"/>
    <w:rsid w:val="001C6325"/>
    <w:rsid w:val="001C67EA"/>
    <w:rsid w:val="001C7534"/>
    <w:rsid w:val="001C7FF0"/>
    <w:rsid w:val="001D078A"/>
    <w:rsid w:val="001D16FD"/>
    <w:rsid w:val="001D37DA"/>
    <w:rsid w:val="001D3F09"/>
    <w:rsid w:val="001D5341"/>
    <w:rsid w:val="001D53FA"/>
    <w:rsid w:val="001E0976"/>
    <w:rsid w:val="001E09C7"/>
    <w:rsid w:val="001E0ACB"/>
    <w:rsid w:val="001E1807"/>
    <w:rsid w:val="001E2CB0"/>
    <w:rsid w:val="001E31C9"/>
    <w:rsid w:val="001E3358"/>
    <w:rsid w:val="001E5F1D"/>
    <w:rsid w:val="001E6BF6"/>
    <w:rsid w:val="001F09EA"/>
    <w:rsid w:val="001F1F27"/>
    <w:rsid w:val="001F21B7"/>
    <w:rsid w:val="001F2372"/>
    <w:rsid w:val="001F3A95"/>
    <w:rsid w:val="001F4432"/>
    <w:rsid w:val="001F5D17"/>
    <w:rsid w:val="001F63CA"/>
    <w:rsid w:val="0020161A"/>
    <w:rsid w:val="00203DA8"/>
    <w:rsid w:val="0020439F"/>
    <w:rsid w:val="00204850"/>
    <w:rsid w:val="00205C94"/>
    <w:rsid w:val="00206B6B"/>
    <w:rsid w:val="00206EE6"/>
    <w:rsid w:val="00207588"/>
    <w:rsid w:val="00211220"/>
    <w:rsid w:val="0021125E"/>
    <w:rsid w:val="002121CF"/>
    <w:rsid w:val="00213E25"/>
    <w:rsid w:val="0021419D"/>
    <w:rsid w:val="00215DFD"/>
    <w:rsid w:val="0021788B"/>
    <w:rsid w:val="00220683"/>
    <w:rsid w:val="00222048"/>
    <w:rsid w:val="00223C49"/>
    <w:rsid w:val="002241EA"/>
    <w:rsid w:val="002247CB"/>
    <w:rsid w:val="002252C6"/>
    <w:rsid w:val="002275FA"/>
    <w:rsid w:val="00227AB9"/>
    <w:rsid w:val="00227D61"/>
    <w:rsid w:val="00227EC1"/>
    <w:rsid w:val="002305A0"/>
    <w:rsid w:val="00230C15"/>
    <w:rsid w:val="00231010"/>
    <w:rsid w:val="0023529B"/>
    <w:rsid w:val="00235957"/>
    <w:rsid w:val="00237339"/>
    <w:rsid w:val="00237B8A"/>
    <w:rsid w:val="00241D1C"/>
    <w:rsid w:val="00242E33"/>
    <w:rsid w:val="00245444"/>
    <w:rsid w:val="002456F1"/>
    <w:rsid w:val="0024666E"/>
    <w:rsid w:val="00246CE7"/>
    <w:rsid w:val="00246EA0"/>
    <w:rsid w:val="00250D96"/>
    <w:rsid w:val="00251B9F"/>
    <w:rsid w:val="00253300"/>
    <w:rsid w:val="002548A7"/>
    <w:rsid w:val="002556E6"/>
    <w:rsid w:val="0025768D"/>
    <w:rsid w:val="00260FE5"/>
    <w:rsid w:val="00262D73"/>
    <w:rsid w:val="0026380E"/>
    <w:rsid w:val="00267312"/>
    <w:rsid w:val="0027169E"/>
    <w:rsid w:val="002717C7"/>
    <w:rsid w:val="00274711"/>
    <w:rsid w:val="00274B9A"/>
    <w:rsid w:val="002753D2"/>
    <w:rsid w:val="00275B8F"/>
    <w:rsid w:val="00276CA0"/>
    <w:rsid w:val="002811CD"/>
    <w:rsid w:val="0028337D"/>
    <w:rsid w:val="00283469"/>
    <w:rsid w:val="00283BDD"/>
    <w:rsid w:val="00285CF4"/>
    <w:rsid w:val="0028644E"/>
    <w:rsid w:val="00286FEF"/>
    <w:rsid w:val="00291799"/>
    <w:rsid w:val="00292E6C"/>
    <w:rsid w:val="0029487A"/>
    <w:rsid w:val="00294EFC"/>
    <w:rsid w:val="0029645C"/>
    <w:rsid w:val="00296796"/>
    <w:rsid w:val="0029683F"/>
    <w:rsid w:val="00297EC1"/>
    <w:rsid w:val="002A131F"/>
    <w:rsid w:val="002A1EC2"/>
    <w:rsid w:val="002A1FB3"/>
    <w:rsid w:val="002A324E"/>
    <w:rsid w:val="002A3B25"/>
    <w:rsid w:val="002A4F10"/>
    <w:rsid w:val="002A5270"/>
    <w:rsid w:val="002A7451"/>
    <w:rsid w:val="002B1714"/>
    <w:rsid w:val="002B2887"/>
    <w:rsid w:val="002B2CF6"/>
    <w:rsid w:val="002B3140"/>
    <w:rsid w:val="002B3B29"/>
    <w:rsid w:val="002B6215"/>
    <w:rsid w:val="002C197D"/>
    <w:rsid w:val="002C2992"/>
    <w:rsid w:val="002C357A"/>
    <w:rsid w:val="002C5CE1"/>
    <w:rsid w:val="002C6A50"/>
    <w:rsid w:val="002C7E76"/>
    <w:rsid w:val="002D04C7"/>
    <w:rsid w:val="002D04DB"/>
    <w:rsid w:val="002D193D"/>
    <w:rsid w:val="002D2966"/>
    <w:rsid w:val="002D2A20"/>
    <w:rsid w:val="002D59C1"/>
    <w:rsid w:val="002D59CF"/>
    <w:rsid w:val="002D7C42"/>
    <w:rsid w:val="002E0A92"/>
    <w:rsid w:val="002E4444"/>
    <w:rsid w:val="002E5ECF"/>
    <w:rsid w:val="002E64A9"/>
    <w:rsid w:val="002E7291"/>
    <w:rsid w:val="002F0ED1"/>
    <w:rsid w:val="002F140E"/>
    <w:rsid w:val="002F2EF0"/>
    <w:rsid w:val="002F31A3"/>
    <w:rsid w:val="002F33A9"/>
    <w:rsid w:val="002F452D"/>
    <w:rsid w:val="002F5601"/>
    <w:rsid w:val="002F567F"/>
    <w:rsid w:val="002F6CBA"/>
    <w:rsid w:val="00300138"/>
    <w:rsid w:val="0030124F"/>
    <w:rsid w:val="003019F5"/>
    <w:rsid w:val="00303079"/>
    <w:rsid w:val="003053D5"/>
    <w:rsid w:val="00306A89"/>
    <w:rsid w:val="00306F52"/>
    <w:rsid w:val="0031049F"/>
    <w:rsid w:val="00310785"/>
    <w:rsid w:val="003109E8"/>
    <w:rsid w:val="00311227"/>
    <w:rsid w:val="0031176C"/>
    <w:rsid w:val="003148B9"/>
    <w:rsid w:val="00317371"/>
    <w:rsid w:val="00317BE6"/>
    <w:rsid w:val="00317DF7"/>
    <w:rsid w:val="003207BE"/>
    <w:rsid w:val="0032164C"/>
    <w:rsid w:val="00322D65"/>
    <w:rsid w:val="00322F76"/>
    <w:rsid w:val="00323007"/>
    <w:rsid w:val="00323D09"/>
    <w:rsid w:val="00323F26"/>
    <w:rsid w:val="003247D6"/>
    <w:rsid w:val="00324D2B"/>
    <w:rsid w:val="00325852"/>
    <w:rsid w:val="00325D4C"/>
    <w:rsid w:val="00325DB3"/>
    <w:rsid w:val="00326D26"/>
    <w:rsid w:val="00327FCA"/>
    <w:rsid w:val="00330952"/>
    <w:rsid w:val="00332488"/>
    <w:rsid w:val="00334585"/>
    <w:rsid w:val="003371F6"/>
    <w:rsid w:val="00337433"/>
    <w:rsid w:val="00337D35"/>
    <w:rsid w:val="0034047E"/>
    <w:rsid w:val="00341D2A"/>
    <w:rsid w:val="00342C78"/>
    <w:rsid w:val="00343309"/>
    <w:rsid w:val="0034334D"/>
    <w:rsid w:val="00343886"/>
    <w:rsid w:val="00344A31"/>
    <w:rsid w:val="0034640D"/>
    <w:rsid w:val="003467BA"/>
    <w:rsid w:val="00347FAC"/>
    <w:rsid w:val="00351784"/>
    <w:rsid w:val="00351CF9"/>
    <w:rsid w:val="00353EFA"/>
    <w:rsid w:val="00354BEB"/>
    <w:rsid w:val="003613E6"/>
    <w:rsid w:val="00362971"/>
    <w:rsid w:val="00362E34"/>
    <w:rsid w:val="00363B7F"/>
    <w:rsid w:val="00365BDF"/>
    <w:rsid w:val="0036631F"/>
    <w:rsid w:val="00366E1C"/>
    <w:rsid w:val="00367735"/>
    <w:rsid w:val="00371AD6"/>
    <w:rsid w:val="003722E2"/>
    <w:rsid w:val="00374B76"/>
    <w:rsid w:val="00380141"/>
    <w:rsid w:val="00381864"/>
    <w:rsid w:val="003827F5"/>
    <w:rsid w:val="00383685"/>
    <w:rsid w:val="00383796"/>
    <w:rsid w:val="003872D7"/>
    <w:rsid w:val="003909FE"/>
    <w:rsid w:val="00391CDB"/>
    <w:rsid w:val="00392C25"/>
    <w:rsid w:val="00395846"/>
    <w:rsid w:val="003964E8"/>
    <w:rsid w:val="0039654C"/>
    <w:rsid w:val="003979EC"/>
    <w:rsid w:val="00397BC1"/>
    <w:rsid w:val="003A0F8B"/>
    <w:rsid w:val="003A100E"/>
    <w:rsid w:val="003A15C2"/>
    <w:rsid w:val="003A379E"/>
    <w:rsid w:val="003A5079"/>
    <w:rsid w:val="003A56BD"/>
    <w:rsid w:val="003A6601"/>
    <w:rsid w:val="003A6C0F"/>
    <w:rsid w:val="003B1B66"/>
    <w:rsid w:val="003B1FD1"/>
    <w:rsid w:val="003B37D7"/>
    <w:rsid w:val="003B4858"/>
    <w:rsid w:val="003B4ABC"/>
    <w:rsid w:val="003B5808"/>
    <w:rsid w:val="003B69A7"/>
    <w:rsid w:val="003B7353"/>
    <w:rsid w:val="003C33F6"/>
    <w:rsid w:val="003C40D7"/>
    <w:rsid w:val="003C4636"/>
    <w:rsid w:val="003C47E0"/>
    <w:rsid w:val="003C491A"/>
    <w:rsid w:val="003C5335"/>
    <w:rsid w:val="003C6607"/>
    <w:rsid w:val="003C6EDC"/>
    <w:rsid w:val="003C7DB0"/>
    <w:rsid w:val="003D17C0"/>
    <w:rsid w:val="003D23E7"/>
    <w:rsid w:val="003D2BED"/>
    <w:rsid w:val="003D3A53"/>
    <w:rsid w:val="003D5DC3"/>
    <w:rsid w:val="003D620B"/>
    <w:rsid w:val="003D728F"/>
    <w:rsid w:val="003D7936"/>
    <w:rsid w:val="003D7D3E"/>
    <w:rsid w:val="003E043F"/>
    <w:rsid w:val="003E059D"/>
    <w:rsid w:val="003E22AC"/>
    <w:rsid w:val="003E4268"/>
    <w:rsid w:val="003E5D5F"/>
    <w:rsid w:val="003E6D12"/>
    <w:rsid w:val="003F00F3"/>
    <w:rsid w:val="003F0F14"/>
    <w:rsid w:val="003F198F"/>
    <w:rsid w:val="003F1A25"/>
    <w:rsid w:val="003F1BCE"/>
    <w:rsid w:val="003F2F71"/>
    <w:rsid w:val="003F3AE7"/>
    <w:rsid w:val="003F3B0B"/>
    <w:rsid w:val="00401490"/>
    <w:rsid w:val="004040C1"/>
    <w:rsid w:val="004045C6"/>
    <w:rsid w:val="0040657B"/>
    <w:rsid w:val="00407C3D"/>
    <w:rsid w:val="00411F18"/>
    <w:rsid w:val="00412468"/>
    <w:rsid w:val="004124B0"/>
    <w:rsid w:val="00412711"/>
    <w:rsid w:val="00413894"/>
    <w:rsid w:val="0041416B"/>
    <w:rsid w:val="0041434C"/>
    <w:rsid w:val="00414833"/>
    <w:rsid w:val="00414EFE"/>
    <w:rsid w:val="00415CFD"/>
    <w:rsid w:val="004176A7"/>
    <w:rsid w:val="00431850"/>
    <w:rsid w:val="00432BFC"/>
    <w:rsid w:val="00434406"/>
    <w:rsid w:val="00436A58"/>
    <w:rsid w:val="0043700D"/>
    <w:rsid w:val="004406E9"/>
    <w:rsid w:val="00442808"/>
    <w:rsid w:val="00442E46"/>
    <w:rsid w:val="0044458B"/>
    <w:rsid w:val="004453C3"/>
    <w:rsid w:val="00447860"/>
    <w:rsid w:val="00451BBE"/>
    <w:rsid w:val="004521C3"/>
    <w:rsid w:val="00452446"/>
    <w:rsid w:val="004529BD"/>
    <w:rsid w:val="00452EDD"/>
    <w:rsid w:val="00453CBA"/>
    <w:rsid w:val="004542E0"/>
    <w:rsid w:val="0045495F"/>
    <w:rsid w:val="00455FFF"/>
    <w:rsid w:val="00457749"/>
    <w:rsid w:val="00457CA0"/>
    <w:rsid w:val="00461B06"/>
    <w:rsid w:val="00462D21"/>
    <w:rsid w:val="00462DF1"/>
    <w:rsid w:val="00462E6E"/>
    <w:rsid w:val="004633A6"/>
    <w:rsid w:val="00465DA7"/>
    <w:rsid w:val="00466D5E"/>
    <w:rsid w:val="00466FA7"/>
    <w:rsid w:val="004673F1"/>
    <w:rsid w:val="0047012C"/>
    <w:rsid w:val="00471505"/>
    <w:rsid w:val="00471C38"/>
    <w:rsid w:val="00473A15"/>
    <w:rsid w:val="00473B88"/>
    <w:rsid w:val="004742B6"/>
    <w:rsid w:val="00474700"/>
    <w:rsid w:val="00475FA8"/>
    <w:rsid w:val="00476677"/>
    <w:rsid w:val="00477509"/>
    <w:rsid w:val="0048058C"/>
    <w:rsid w:val="004815F7"/>
    <w:rsid w:val="00481B97"/>
    <w:rsid w:val="00481D4D"/>
    <w:rsid w:val="00481D9C"/>
    <w:rsid w:val="00482230"/>
    <w:rsid w:val="00482322"/>
    <w:rsid w:val="004825DA"/>
    <w:rsid w:val="004826C7"/>
    <w:rsid w:val="00483223"/>
    <w:rsid w:val="0048346F"/>
    <w:rsid w:val="00483A08"/>
    <w:rsid w:val="00483A8A"/>
    <w:rsid w:val="004849D2"/>
    <w:rsid w:val="00485C3F"/>
    <w:rsid w:val="00492500"/>
    <w:rsid w:val="0049334A"/>
    <w:rsid w:val="0049377E"/>
    <w:rsid w:val="00493B75"/>
    <w:rsid w:val="00496A20"/>
    <w:rsid w:val="00497865"/>
    <w:rsid w:val="00497A5E"/>
    <w:rsid w:val="004A130D"/>
    <w:rsid w:val="004A1837"/>
    <w:rsid w:val="004A25A6"/>
    <w:rsid w:val="004A285F"/>
    <w:rsid w:val="004A3F7B"/>
    <w:rsid w:val="004A53ED"/>
    <w:rsid w:val="004A6EC3"/>
    <w:rsid w:val="004A72E5"/>
    <w:rsid w:val="004B04EB"/>
    <w:rsid w:val="004B267E"/>
    <w:rsid w:val="004B3B47"/>
    <w:rsid w:val="004B675B"/>
    <w:rsid w:val="004C36A1"/>
    <w:rsid w:val="004C38A7"/>
    <w:rsid w:val="004C4EFC"/>
    <w:rsid w:val="004C6A4A"/>
    <w:rsid w:val="004C6B5B"/>
    <w:rsid w:val="004C7442"/>
    <w:rsid w:val="004D1761"/>
    <w:rsid w:val="004D5AFB"/>
    <w:rsid w:val="004D6055"/>
    <w:rsid w:val="004D6F48"/>
    <w:rsid w:val="004E053C"/>
    <w:rsid w:val="004E1ECE"/>
    <w:rsid w:val="004E31E7"/>
    <w:rsid w:val="004E71D2"/>
    <w:rsid w:val="004E7E46"/>
    <w:rsid w:val="004F000C"/>
    <w:rsid w:val="004F160B"/>
    <w:rsid w:val="004F1EF5"/>
    <w:rsid w:val="004F2A05"/>
    <w:rsid w:val="004F7BFC"/>
    <w:rsid w:val="004F7D0D"/>
    <w:rsid w:val="00500BE6"/>
    <w:rsid w:val="0050103D"/>
    <w:rsid w:val="00506299"/>
    <w:rsid w:val="0050704F"/>
    <w:rsid w:val="0050737E"/>
    <w:rsid w:val="00511B86"/>
    <w:rsid w:val="005122FE"/>
    <w:rsid w:val="00512A8E"/>
    <w:rsid w:val="005141FC"/>
    <w:rsid w:val="00516AA0"/>
    <w:rsid w:val="005254BA"/>
    <w:rsid w:val="00525F24"/>
    <w:rsid w:val="005270BF"/>
    <w:rsid w:val="00527FBD"/>
    <w:rsid w:val="00531783"/>
    <w:rsid w:val="00531C41"/>
    <w:rsid w:val="00532F53"/>
    <w:rsid w:val="00535DE8"/>
    <w:rsid w:val="00535EA4"/>
    <w:rsid w:val="0053726C"/>
    <w:rsid w:val="00541D95"/>
    <w:rsid w:val="00543464"/>
    <w:rsid w:val="0054548E"/>
    <w:rsid w:val="005500A0"/>
    <w:rsid w:val="005504F9"/>
    <w:rsid w:val="00550607"/>
    <w:rsid w:val="0055189B"/>
    <w:rsid w:val="00552642"/>
    <w:rsid w:val="0055592C"/>
    <w:rsid w:val="00555C6D"/>
    <w:rsid w:val="0056142F"/>
    <w:rsid w:val="00561FAF"/>
    <w:rsid w:val="00563B28"/>
    <w:rsid w:val="005644F1"/>
    <w:rsid w:val="00566DF4"/>
    <w:rsid w:val="00570108"/>
    <w:rsid w:val="00572662"/>
    <w:rsid w:val="0057651F"/>
    <w:rsid w:val="005772AA"/>
    <w:rsid w:val="00580BB9"/>
    <w:rsid w:val="00581971"/>
    <w:rsid w:val="00582810"/>
    <w:rsid w:val="0058502A"/>
    <w:rsid w:val="0058537C"/>
    <w:rsid w:val="005859CA"/>
    <w:rsid w:val="00585D26"/>
    <w:rsid w:val="00586E24"/>
    <w:rsid w:val="00593181"/>
    <w:rsid w:val="00593C6B"/>
    <w:rsid w:val="005940B0"/>
    <w:rsid w:val="00594600"/>
    <w:rsid w:val="00596424"/>
    <w:rsid w:val="00596878"/>
    <w:rsid w:val="005A3133"/>
    <w:rsid w:val="005A3F92"/>
    <w:rsid w:val="005A4049"/>
    <w:rsid w:val="005A6FDD"/>
    <w:rsid w:val="005A7571"/>
    <w:rsid w:val="005B18ED"/>
    <w:rsid w:val="005B4B18"/>
    <w:rsid w:val="005B59B5"/>
    <w:rsid w:val="005B6E48"/>
    <w:rsid w:val="005B7A80"/>
    <w:rsid w:val="005B7B4D"/>
    <w:rsid w:val="005C4D24"/>
    <w:rsid w:val="005C57A4"/>
    <w:rsid w:val="005C5AD6"/>
    <w:rsid w:val="005C673A"/>
    <w:rsid w:val="005D0364"/>
    <w:rsid w:val="005D0526"/>
    <w:rsid w:val="005D17FD"/>
    <w:rsid w:val="005D2A43"/>
    <w:rsid w:val="005D4C9D"/>
    <w:rsid w:val="005D59DF"/>
    <w:rsid w:val="005D6E67"/>
    <w:rsid w:val="005E01B0"/>
    <w:rsid w:val="005E1CF5"/>
    <w:rsid w:val="005E4A4F"/>
    <w:rsid w:val="005E643B"/>
    <w:rsid w:val="005F1C9D"/>
    <w:rsid w:val="005F33CB"/>
    <w:rsid w:val="005F393A"/>
    <w:rsid w:val="005F4180"/>
    <w:rsid w:val="005F4E14"/>
    <w:rsid w:val="005F58A9"/>
    <w:rsid w:val="005F70F3"/>
    <w:rsid w:val="00600C17"/>
    <w:rsid w:val="00601B3C"/>
    <w:rsid w:val="00601DEF"/>
    <w:rsid w:val="0060644C"/>
    <w:rsid w:val="006069B7"/>
    <w:rsid w:val="00610A74"/>
    <w:rsid w:val="00611DB8"/>
    <w:rsid w:val="00613C2E"/>
    <w:rsid w:val="00613CFB"/>
    <w:rsid w:val="00614A9F"/>
    <w:rsid w:val="0061527F"/>
    <w:rsid w:val="0062047F"/>
    <w:rsid w:val="00622C44"/>
    <w:rsid w:val="006234E9"/>
    <w:rsid w:val="00624F92"/>
    <w:rsid w:val="0062752C"/>
    <w:rsid w:val="006318C5"/>
    <w:rsid w:val="00632FE3"/>
    <w:rsid w:val="00636BD3"/>
    <w:rsid w:val="00640F9D"/>
    <w:rsid w:val="006414B8"/>
    <w:rsid w:val="006431CF"/>
    <w:rsid w:val="0064557B"/>
    <w:rsid w:val="00645B01"/>
    <w:rsid w:val="006463F3"/>
    <w:rsid w:val="00647061"/>
    <w:rsid w:val="006474AA"/>
    <w:rsid w:val="00650704"/>
    <w:rsid w:val="00651517"/>
    <w:rsid w:val="00653A3B"/>
    <w:rsid w:val="00654167"/>
    <w:rsid w:val="00654992"/>
    <w:rsid w:val="00654EB4"/>
    <w:rsid w:val="00655675"/>
    <w:rsid w:val="00655BE1"/>
    <w:rsid w:val="006626F4"/>
    <w:rsid w:val="006631F1"/>
    <w:rsid w:val="006638AF"/>
    <w:rsid w:val="00663B4C"/>
    <w:rsid w:val="00664F64"/>
    <w:rsid w:val="006651C6"/>
    <w:rsid w:val="006658A5"/>
    <w:rsid w:val="006669F9"/>
    <w:rsid w:val="00671099"/>
    <w:rsid w:val="006714DA"/>
    <w:rsid w:val="00671660"/>
    <w:rsid w:val="00673849"/>
    <w:rsid w:val="0067396A"/>
    <w:rsid w:val="006745DA"/>
    <w:rsid w:val="006767BC"/>
    <w:rsid w:val="006770C5"/>
    <w:rsid w:val="0067759B"/>
    <w:rsid w:val="00677AC7"/>
    <w:rsid w:val="00681692"/>
    <w:rsid w:val="00681E06"/>
    <w:rsid w:val="00684C4C"/>
    <w:rsid w:val="00685FFF"/>
    <w:rsid w:val="0068741C"/>
    <w:rsid w:val="006875AD"/>
    <w:rsid w:val="00690EED"/>
    <w:rsid w:val="006935B9"/>
    <w:rsid w:val="00696745"/>
    <w:rsid w:val="00697CD3"/>
    <w:rsid w:val="006A05E1"/>
    <w:rsid w:val="006A0A00"/>
    <w:rsid w:val="006A1909"/>
    <w:rsid w:val="006A4234"/>
    <w:rsid w:val="006A4523"/>
    <w:rsid w:val="006A5152"/>
    <w:rsid w:val="006B0A31"/>
    <w:rsid w:val="006B10B9"/>
    <w:rsid w:val="006B165E"/>
    <w:rsid w:val="006B1B57"/>
    <w:rsid w:val="006B3FD8"/>
    <w:rsid w:val="006B44E6"/>
    <w:rsid w:val="006B53A9"/>
    <w:rsid w:val="006B6842"/>
    <w:rsid w:val="006C1A94"/>
    <w:rsid w:val="006C2D4D"/>
    <w:rsid w:val="006C35C8"/>
    <w:rsid w:val="006C4F8F"/>
    <w:rsid w:val="006C735F"/>
    <w:rsid w:val="006D1DE2"/>
    <w:rsid w:val="006D2EBE"/>
    <w:rsid w:val="006D308A"/>
    <w:rsid w:val="006D39FF"/>
    <w:rsid w:val="006D4402"/>
    <w:rsid w:val="006D4A8B"/>
    <w:rsid w:val="006D5613"/>
    <w:rsid w:val="006E039C"/>
    <w:rsid w:val="006E0C06"/>
    <w:rsid w:val="006E111A"/>
    <w:rsid w:val="006E62CE"/>
    <w:rsid w:val="006F00BF"/>
    <w:rsid w:val="006F02F5"/>
    <w:rsid w:val="006F0496"/>
    <w:rsid w:val="006F1719"/>
    <w:rsid w:val="006F1CCC"/>
    <w:rsid w:val="006F366B"/>
    <w:rsid w:val="006F5287"/>
    <w:rsid w:val="006F654A"/>
    <w:rsid w:val="006F6C82"/>
    <w:rsid w:val="006F7FDB"/>
    <w:rsid w:val="00700B85"/>
    <w:rsid w:val="007019F1"/>
    <w:rsid w:val="007026A6"/>
    <w:rsid w:val="0070282F"/>
    <w:rsid w:val="00702FEA"/>
    <w:rsid w:val="00703053"/>
    <w:rsid w:val="00707DE2"/>
    <w:rsid w:val="00712366"/>
    <w:rsid w:val="00712D02"/>
    <w:rsid w:val="00715029"/>
    <w:rsid w:val="00715362"/>
    <w:rsid w:val="00717770"/>
    <w:rsid w:val="00720970"/>
    <w:rsid w:val="00722F90"/>
    <w:rsid w:val="0072331A"/>
    <w:rsid w:val="00723436"/>
    <w:rsid w:val="00724996"/>
    <w:rsid w:val="007250B9"/>
    <w:rsid w:val="007313B9"/>
    <w:rsid w:val="00731487"/>
    <w:rsid w:val="007321CD"/>
    <w:rsid w:val="0073232D"/>
    <w:rsid w:val="00735B5D"/>
    <w:rsid w:val="0073700E"/>
    <w:rsid w:val="00737B8F"/>
    <w:rsid w:val="00740671"/>
    <w:rsid w:val="007423B9"/>
    <w:rsid w:val="007426D4"/>
    <w:rsid w:val="007428FA"/>
    <w:rsid w:val="00743F04"/>
    <w:rsid w:val="007443DE"/>
    <w:rsid w:val="007449BB"/>
    <w:rsid w:val="00750353"/>
    <w:rsid w:val="00753769"/>
    <w:rsid w:val="00754226"/>
    <w:rsid w:val="0075474E"/>
    <w:rsid w:val="00755515"/>
    <w:rsid w:val="00756288"/>
    <w:rsid w:val="007566DD"/>
    <w:rsid w:val="00757B97"/>
    <w:rsid w:val="0076099E"/>
    <w:rsid w:val="007635BF"/>
    <w:rsid w:val="00763FBB"/>
    <w:rsid w:val="00764709"/>
    <w:rsid w:val="00766BBA"/>
    <w:rsid w:val="00767294"/>
    <w:rsid w:val="00767817"/>
    <w:rsid w:val="007678DA"/>
    <w:rsid w:val="00771507"/>
    <w:rsid w:val="00771CDA"/>
    <w:rsid w:val="00775EDE"/>
    <w:rsid w:val="00776B36"/>
    <w:rsid w:val="00777479"/>
    <w:rsid w:val="007777FC"/>
    <w:rsid w:val="007805BB"/>
    <w:rsid w:val="00782FA8"/>
    <w:rsid w:val="00783924"/>
    <w:rsid w:val="007860FC"/>
    <w:rsid w:val="007923CE"/>
    <w:rsid w:val="007939F7"/>
    <w:rsid w:val="00794336"/>
    <w:rsid w:val="00794452"/>
    <w:rsid w:val="00794DE9"/>
    <w:rsid w:val="00795350"/>
    <w:rsid w:val="0079582E"/>
    <w:rsid w:val="0079711E"/>
    <w:rsid w:val="007A134E"/>
    <w:rsid w:val="007A2C69"/>
    <w:rsid w:val="007A2DFA"/>
    <w:rsid w:val="007A2FB1"/>
    <w:rsid w:val="007A33CB"/>
    <w:rsid w:val="007A4875"/>
    <w:rsid w:val="007A52BC"/>
    <w:rsid w:val="007A730C"/>
    <w:rsid w:val="007A753D"/>
    <w:rsid w:val="007A7C86"/>
    <w:rsid w:val="007B0D7C"/>
    <w:rsid w:val="007B1765"/>
    <w:rsid w:val="007B241A"/>
    <w:rsid w:val="007B3BA6"/>
    <w:rsid w:val="007B3E34"/>
    <w:rsid w:val="007B548B"/>
    <w:rsid w:val="007B5DDF"/>
    <w:rsid w:val="007C07B8"/>
    <w:rsid w:val="007C09FB"/>
    <w:rsid w:val="007C44F3"/>
    <w:rsid w:val="007C7A78"/>
    <w:rsid w:val="007C7BBB"/>
    <w:rsid w:val="007D19B7"/>
    <w:rsid w:val="007D1CDE"/>
    <w:rsid w:val="007D2494"/>
    <w:rsid w:val="007D4BD9"/>
    <w:rsid w:val="007D5040"/>
    <w:rsid w:val="007D539E"/>
    <w:rsid w:val="007D5474"/>
    <w:rsid w:val="007D5C7D"/>
    <w:rsid w:val="007D6C1A"/>
    <w:rsid w:val="007D6F04"/>
    <w:rsid w:val="007E0903"/>
    <w:rsid w:val="007E1B73"/>
    <w:rsid w:val="007E1B8D"/>
    <w:rsid w:val="007E24A2"/>
    <w:rsid w:val="007E4360"/>
    <w:rsid w:val="007E4BBB"/>
    <w:rsid w:val="007E6303"/>
    <w:rsid w:val="007E70C4"/>
    <w:rsid w:val="007F0044"/>
    <w:rsid w:val="007F1137"/>
    <w:rsid w:val="007F18F4"/>
    <w:rsid w:val="007F1E68"/>
    <w:rsid w:val="007F527B"/>
    <w:rsid w:val="007F5CB5"/>
    <w:rsid w:val="007F6723"/>
    <w:rsid w:val="007F6A15"/>
    <w:rsid w:val="007F6A3C"/>
    <w:rsid w:val="007F6D23"/>
    <w:rsid w:val="007F6EDA"/>
    <w:rsid w:val="00802190"/>
    <w:rsid w:val="008041B7"/>
    <w:rsid w:val="008047F4"/>
    <w:rsid w:val="00807721"/>
    <w:rsid w:val="008104AA"/>
    <w:rsid w:val="008115DA"/>
    <w:rsid w:val="008138A6"/>
    <w:rsid w:val="00813E8C"/>
    <w:rsid w:val="00814E08"/>
    <w:rsid w:val="00817898"/>
    <w:rsid w:val="00822C5F"/>
    <w:rsid w:val="00823060"/>
    <w:rsid w:val="008233A2"/>
    <w:rsid w:val="008252C1"/>
    <w:rsid w:val="00826398"/>
    <w:rsid w:val="00826554"/>
    <w:rsid w:val="00827886"/>
    <w:rsid w:val="008319A9"/>
    <w:rsid w:val="0083269F"/>
    <w:rsid w:val="00832CF7"/>
    <w:rsid w:val="00833EA8"/>
    <w:rsid w:val="008368BC"/>
    <w:rsid w:val="00836EB5"/>
    <w:rsid w:val="0084014B"/>
    <w:rsid w:val="0084144B"/>
    <w:rsid w:val="008437EF"/>
    <w:rsid w:val="0084772B"/>
    <w:rsid w:val="00847785"/>
    <w:rsid w:val="0085040C"/>
    <w:rsid w:val="00850F1F"/>
    <w:rsid w:val="00851BF4"/>
    <w:rsid w:val="00852E80"/>
    <w:rsid w:val="0085376D"/>
    <w:rsid w:val="008540E5"/>
    <w:rsid w:val="008554D2"/>
    <w:rsid w:val="008563A4"/>
    <w:rsid w:val="00857E8B"/>
    <w:rsid w:val="00860128"/>
    <w:rsid w:val="00860B55"/>
    <w:rsid w:val="008626E2"/>
    <w:rsid w:val="0086417D"/>
    <w:rsid w:val="00865B6E"/>
    <w:rsid w:val="008700E6"/>
    <w:rsid w:val="00870604"/>
    <w:rsid w:val="008707C6"/>
    <w:rsid w:val="00870B4A"/>
    <w:rsid w:val="00870ED0"/>
    <w:rsid w:val="00873159"/>
    <w:rsid w:val="0087332E"/>
    <w:rsid w:val="00873F59"/>
    <w:rsid w:val="0087420B"/>
    <w:rsid w:val="00874222"/>
    <w:rsid w:val="008747DF"/>
    <w:rsid w:val="00874EBC"/>
    <w:rsid w:val="0087611A"/>
    <w:rsid w:val="00876C9D"/>
    <w:rsid w:val="00880165"/>
    <w:rsid w:val="00880FB9"/>
    <w:rsid w:val="00883788"/>
    <w:rsid w:val="00883A80"/>
    <w:rsid w:val="008857F9"/>
    <w:rsid w:val="0088671B"/>
    <w:rsid w:val="00890D82"/>
    <w:rsid w:val="00891C25"/>
    <w:rsid w:val="00893453"/>
    <w:rsid w:val="00893579"/>
    <w:rsid w:val="0089415B"/>
    <w:rsid w:val="008969AD"/>
    <w:rsid w:val="008A0B9B"/>
    <w:rsid w:val="008A2BE8"/>
    <w:rsid w:val="008A7948"/>
    <w:rsid w:val="008B078C"/>
    <w:rsid w:val="008B0D49"/>
    <w:rsid w:val="008B7822"/>
    <w:rsid w:val="008B7BD3"/>
    <w:rsid w:val="008C0211"/>
    <w:rsid w:val="008C2684"/>
    <w:rsid w:val="008C2B96"/>
    <w:rsid w:val="008C44F4"/>
    <w:rsid w:val="008C519F"/>
    <w:rsid w:val="008D06CD"/>
    <w:rsid w:val="008D4DD9"/>
    <w:rsid w:val="008D7AC3"/>
    <w:rsid w:val="008E4665"/>
    <w:rsid w:val="008E63FE"/>
    <w:rsid w:val="008E6A0C"/>
    <w:rsid w:val="008E716B"/>
    <w:rsid w:val="008F0D48"/>
    <w:rsid w:val="008F24C5"/>
    <w:rsid w:val="008F2BF8"/>
    <w:rsid w:val="008F2D08"/>
    <w:rsid w:val="008F40E6"/>
    <w:rsid w:val="008F66C9"/>
    <w:rsid w:val="00900A66"/>
    <w:rsid w:val="009026DD"/>
    <w:rsid w:val="009036C2"/>
    <w:rsid w:val="0090569E"/>
    <w:rsid w:val="009123AE"/>
    <w:rsid w:val="009126AD"/>
    <w:rsid w:val="009129E5"/>
    <w:rsid w:val="00912B9E"/>
    <w:rsid w:val="00916CB1"/>
    <w:rsid w:val="00917093"/>
    <w:rsid w:val="00917257"/>
    <w:rsid w:val="00923110"/>
    <w:rsid w:val="00923337"/>
    <w:rsid w:val="00923C1E"/>
    <w:rsid w:val="009249CC"/>
    <w:rsid w:val="0092523E"/>
    <w:rsid w:val="00930C7D"/>
    <w:rsid w:val="009360E9"/>
    <w:rsid w:val="00940C0C"/>
    <w:rsid w:val="00941B45"/>
    <w:rsid w:val="00946347"/>
    <w:rsid w:val="00946965"/>
    <w:rsid w:val="00950150"/>
    <w:rsid w:val="00950829"/>
    <w:rsid w:val="009515CA"/>
    <w:rsid w:val="00952DBB"/>
    <w:rsid w:val="00953A25"/>
    <w:rsid w:val="00954D6C"/>
    <w:rsid w:val="00955F37"/>
    <w:rsid w:val="00960E79"/>
    <w:rsid w:val="00960FEE"/>
    <w:rsid w:val="0096140D"/>
    <w:rsid w:val="00961629"/>
    <w:rsid w:val="0096257B"/>
    <w:rsid w:val="009648E0"/>
    <w:rsid w:val="009675D6"/>
    <w:rsid w:val="0097184D"/>
    <w:rsid w:val="00972096"/>
    <w:rsid w:val="009729F1"/>
    <w:rsid w:val="00972B68"/>
    <w:rsid w:val="00973612"/>
    <w:rsid w:val="009765D2"/>
    <w:rsid w:val="009771F0"/>
    <w:rsid w:val="00983129"/>
    <w:rsid w:val="00983EB7"/>
    <w:rsid w:val="00985B2D"/>
    <w:rsid w:val="00985E42"/>
    <w:rsid w:val="00986337"/>
    <w:rsid w:val="009913C2"/>
    <w:rsid w:val="009929BD"/>
    <w:rsid w:val="009937C8"/>
    <w:rsid w:val="009A2A19"/>
    <w:rsid w:val="009A438C"/>
    <w:rsid w:val="009A4899"/>
    <w:rsid w:val="009A5C93"/>
    <w:rsid w:val="009A7551"/>
    <w:rsid w:val="009A7C63"/>
    <w:rsid w:val="009B0594"/>
    <w:rsid w:val="009B0D32"/>
    <w:rsid w:val="009B2706"/>
    <w:rsid w:val="009B43A4"/>
    <w:rsid w:val="009B45DA"/>
    <w:rsid w:val="009B5A63"/>
    <w:rsid w:val="009B640A"/>
    <w:rsid w:val="009C15D9"/>
    <w:rsid w:val="009C1846"/>
    <w:rsid w:val="009C3B9A"/>
    <w:rsid w:val="009C6CE1"/>
    <w:rsid w:val="009D0934"/>
    <w:rsid w:val="009D1891"/>
    <w:rsid w:val="009D1BED"/>
    <w:rsid w:val="009D1D61"/>
    <w:rsid w:val="009D6485"/>
    <w:rsid w:val="009D747A"/>
    <w:rsid w:val="009D7EEE"/>
    <w:rsid w:val="009E0D59"/>
    <w:rsid w:val="009E11A7"/>
    <w:rsid w:val="009E1A32"/>
    <w:rsid w:val="009E342B"/>
    <w:rsid w:val="009E3C71"/>
    <w:rsid w:val="009E4EB3"/>
    <w:rsid w:val="009E54C6"/>
    <w:rsid w:val="009E5514"/>
    <w:rsid w:val="009E5A62"/>
    <w:rsid w:val="009E679E"/>
    <w:rsid w:val="009F1354"/>
    <w:rsid w:val="009F2431"/>
    <w:rsid w:val="009F3237"/>
    <w:rsid w:val="009F39C5"/>
    <w:rsid w:val="009F46E9"/>
    <w:rsid w:val="00A00BD9"/>
    <w:rsid w:val="00A0123F"/>
    <w:rsid w:val="00A02F68"/>
    <w:rsid w:val="00A04076"/>
    <w:rsid w:val="00A04280"/>
    <w:rsid w:val="00A05F83"/>
    <w:rsid w:val="00A1066C"/>
    <w:rsid w:val="00A11864"/>
    <w:rsid w:val="00A12591"/>
    <w:rsid w:val="00A16632"/>
    <w:rsid w:val="00A17D91"/>
    <w:rsid w:val="00A17E7C"/>
    <w:rsid w:val="00A20715"/>
    <w:rsid w:val="00A23959"/>
    <w:rsid w:val="00A27523"/>
    <w:rsid w:val="00A27FFA"/>
    <w:rsid w:val="00A31164"/>
    <w:rsid w:val="00A313CB"/>
    <w:rsid w:val="00A3243B"/>
    <w:rsid w:val="00A37829"/>
    <w:rsid w:val="00A37AF1"/>
    <w:rsid w:val="00A4180A"/>
    <w:rsid w:val="00A42394"/>
    <w:rsid w:val="00A42452"/>
    <w:rsid w:val="00A44034"/>
    <w:rsid w:val="00A4523E"/>
    <w:rsid w:val="00A454ED"/>
    <w:rsid w:val="00A456DE"/>
    <w:rsid w:val="00A4591D"/>
    <w:rsid w:val="00A472A3"/>
    <w:rsid w:val="00A4794B"/>
    <w:rsid w:val="00A47B72"/>
    <w:rsid w:val="00A51122"/>
    <w:rsid w:val="00A515C4"/>
    <w:rsid w:val="00A535E0"/>
    <w:rsid w:val="00A5452D"/>
    <w:rsid w:val="00A55FD4"/>
    <w:rsid w:val="00A56014"/>
    <w:rsid w:val="00A60496"/>
    <w:rsid w:val="00A61310"/>
    <w:rsid w:val="00A61504"/>
    <w:rsid w:val="00A62004"/>
    <w:rsid w:val="00A624FC"/>
    <w:rsid w:val="00A630F5"/>
    <w:rsid w:val="00A6324F"/>
    <w:rsid w:val="00A638F9"/>
    <w:rsid w:val="00A64993"/>
    <w:rsid w:val="00A657A3"/>
    <w:rsid w:val="00A65DAC"/>
    <w:rsid w:val="00A664DF"/>
    <w:rsid w:val="00A675A3"/>
    <w:rsid w:val="00A704E3"/>
    <w:rsid w:val="00A70E0A"/>
    <w:rsid w:val="00A71599"/>
    <w:rsid w:val="00A71AC3"/>
    <w:rsid w:val="00A730A4"/>
    <w:rsid w:val="00A74F82"/>
    <w:rsid w:val="00A75062"/>
    <w:rsid w:val="00A75309"/>
    <w:rsid w:val="00A755F5"/>
    <w:rsid w:val="00A75E7A"/>
    <w:rsid w:val="00A76077"/>
    <w:rsid w:val="00A7678F"/>
    <w:rsid w:val="00A84F54"/>
    <w:rsid w:val="00A861C9"/>
    <w:rsid w:val="00A875DC"/>
    <w:rsid w:val="00A9070C"/>
    <w:rsid w:val="00A907B9"/>
    <w:rsid w:val="00A909E6"/>
    <w:rsid w:val="00A91B67"/>
    <w:rsid w:val="00A92050"/>
    <w:rsid w:val="00A9366E"/>
    <w:rsid w:val="00A971AF"/>
    <w:rsid w:val="00A97932"/>
    <w:rsid w:val="00A97E66"/>
    <w:rsid w:val="00AA20FC"/>
    <w:rsid w:val="00AA2F4F"/>
    <w:rsid w:val="00AA324F"/>
    <w:rsid w:val="00AA361D"/>
    <w:rsid w:val="00AA563D"/>
    <w:rsid w:val="00AA5889"/>
    <w:rsid w:val="00AA5D70"/>
    <w:rsid w:val="00AA6D37"/>
    <w:rsid w:val="00AB0D44"/>
    <w:rsid w:val="00AB1E0A"/>
    <w:rsid w:val="00AB3385"/>
    <w:rsid w:val="00AB3EDD"/>
    <w:rsid w:val="00AB7309"/>
    <w:rsid w:val="00AB7510"/>
    <w:rsid w:val="00AC2890"/>
    <w:rsid w:val="00AC29A0"/>
    <w:rsid w:val="00AC3A88"/>
    <w:rsid w:val="00AC4F44"/>
    <w:rsid w:val="00AC63FB"/>
    <w:rsid w:val="00AC67CA"/>
    <w:rsid w:val="00AC6F6F"/>
    <w:rsid w:val="00AD0791"/>
    <w:rsid w:val="00AD0C73"/>
    <w:rsid w:val="00AD3153"/>
    <w:rsid w:val="00AD3610"/>
    <w:rsid w:val="00AD62F5"/>
    <w:rsid w:val="00AD7AAC"/>
    <w:rsid w:val="00AE1635"/>
    <w:rsid w:val="00AE3DB2"/>
    <w:rsid w:val="00AE4871"/>
    <w:rsid w:val="00AE7B9E"/>
    <w:rsid w:val="00AE7E30"/>
    <w:rsid w:val="00AF0AA2"/>
    <w:rsid w:val="00AF13AA"/>
    <w:rsid w:val="00AF45CF"/>
    <w:rsid w:val="00AF5657"/>
    <w:rsid w:val="00AF6A68"/>
    <w:rsid w:val="00B00630"/>
    <w:rsid w:val="00B00818"/>
    <w:rsid w:val="00B00A50"/>
    <w:rsid w:val="00B027E8"/>
    <w:rsid w:val="00B04584"/>
    <w:rsid w:val="00B04B8D"/>
    <w:rsid w:val="00B0602A"/>
    <w:rsid w:val="00B079C1"/>
    <w:rsid w:val="00B07E02"/>
    <w:rsid w:val="00B134B1"/>
    <w:rsid w:val="00B1357D"/>
    <w:rsid w:val="00B145C4"/>
    <w:rsid w:val="00B21D13"/>
    <w:rsid w:val="00B21D31"/>
    <w:rsid w:val="00B22702"/>
    <w:rsid w:val="00B227F7"/>
    <w:rsid w:val="00B22E73"/>
    <w:rsid w:val="00B23BF6"/>
    <w:rsid w:val="00B243F1"/>
    <w:rsid w:val="00B2471B"/>
    <w:rsid w:val="00B254A3"/>
    <w:rsid w:val="00B2716C"/>
    <w:rsid w:val="00B30B1F"/>
    <w:rsid w:val="00B32DB2"/>
    <w:rsid w:val="00B32F42"/>
    <w:rsid w:val="00B32FDB"/>
    <w:rsid w:val="00B33581"/>
    <w:rsid w:val="00B336EC"/>
    <w:rsid w:val="00B33E4F"/>
    <w:rsid w:val="00B36846"/>
    <w:rsid w:val="00B4063C"/>
    <w:rsid w:val="00B40C97"/>
    <w:rsid w:val="00B4165B"/>
    <w:rsid w:val="00B44333"/>
    <w:rsid w:val="00B444DB"/>
    <w:rsid w:val="00B448DF"/>
    <w:rsid w:val="00B45BA8"/>
    <w:rsid w:val="00B45E2D"/>
    <w:rsid w:val="00B51F80"/>
    <w:rsid w:val="00B527A1"/>
    <w:rsid w:val="00B5371F"/>
    <w:rsid w:val="00B54AC1"/>
    <w:rsid w:val="00B55DCF"/>
    <w:rsid w:val="00B567A8"/>
    <w:rsid w:val="00B5706C"/>
    <w:rsid w:val="00B57DE0"/>
    <w:rsid w:val="00B60DEA"/>
    <w:rsid w:val="00B64D44"/>
    <w:rsid w:val="00B65746"/>
    <w:rsid w:val="00B66366"/>
    <w:rsid w:val="00B6679A"/>
    <w:rsid w:val="00B66E62"/>
    <w:rsid w:val="00B67049"/>
    <w:rsid w:val="00B670AF"/>
    <w:rsid w:val="00B73D3D"/>
    <w:rsid w:val="00B74124"/>
    <w:rsid w:val="00B7660A"/>
    <w:rsid w:val="00B7796A"/>
    <w:rsid w:val="00B77B52"/>
    <w:rsid w:val="00B81BF0"/>
    <w:rsid w:val="00B8222E"/>
    <w:rsid w:val="00B84269"/>
    <w:rsid w:val="00B85AAA"/>
    <w:rsid w:val="00B86EBF"/>
    <w:rsid w:val="00B87796"/>
    <w:rsid w:val="00B9093C"/>
    <w:rsid w:val="00B9250A"/>
    <w:rsid w:val="00B92885"/>
    <w:rsid w:val="00B959FB"/>
    <w:rsid w:val="00B9703F"/>
    <w:rsid w:val="00B9731A"/>
    <w:rsid w:val="00B9748C"/>
    <w:rsid w:val="00BA1463"/>
    <w:rsid w:val="00BA16E5"/>
    <w:rsid w:val="00BA3A44"/>
    <w:rsid w:val="00BA3E37"/>
    <w:rsid w:val="00BA5977"/>
    <w:rsid w:val="00BA5D65"/>
    <w:rsid w:val="00BA674C"/>
    <w:rsid w:val="00BB018D"/>
    <w:rsid w:val="00BB0CA5"/>
    <w:rsid w:val="00BB1459"/>
    <w:rsid w:val="00BB3FE7"/>
    <w:rsid w:val="00BB4208"/>
    <w:rsid w:val="00BB777A"/>
    <w:rsid w:val="00BC0F15"/>
    <w:rsid w:val="00BC1118"/>
    <w:rsid w:val="00BC1559"/>
    <w:rsid w:val="00BC23D4"/>
    <w:rsid w:val="00BC2607"/>
    <w:rsid w:val="00BC318A"/>
    <w:rsid w:val="00BC4AE2"/>
    <w:rsid w:val="00BC79C5"/>
    <w:rsid w:val="00BD01F4"/>
    <w:rsid w:val="00BD28AE"/>
    <w:rsid w:val="00BD6EB4"/>
    <w:rsid w:val="00BE087D"/>
    <w:rsid w:val="00BE25BC"/>
    <w:rsid w:val="00BE4C82"/>
    <w:rsid w:val="00BE58A5"/>
    <w:rsid w:val="00BE5E1A"/>
    <w:rsid w:val="00BE6302"/>
    <w:rsid w:val="00BF027E"/>
    <w:rsid w:val="00BF0FD6"/>
    <w:rsid w:val="00BF122F"/>
    <w:rsid w:val="00BF17D9"/>
    <w:rsid w:val="00BF55A3"/>
    <w:rsid w:val="00BF6F70"/>
    <w:rsid w:val="00C015AB"/>
    <w:rsid w:val="00C03EE6"/>
    <w:rsid w:val="00C041D6"/>
    <w:rsid w:val="00C04DAA"/>
    <w:rsid w:val="00C0636A"/>
    <w:rsid w:val="00C07EAA"/>
    <w:rsid w:val="00C1039B"/>
    <w:rsid w:val="00C12A7A"/>
    <w:rsid w:val="00C12F05"/>
    <w:rsid w:val="00C13FB5"/>
    <w:rsid w:val="00C15309"/>
    <w:rsid w:val="00C15F56"/>
    <w:rsid w:val="00C1664B"/>
    <w:rsid w:val="00C212A1"/>
    <w:rsid w:val="00C227A7"/>
    <w:rsid w:val="00C23186"/>
    <w:rsid w:val="00C241C5"/>
    <w:rsid w:val="00C24C5E"/>
    <w:rsid w:val="00C24EC0"/>
    <w:rsid w:val="00C26180"/>
    <w:rsid w:val="00C304D9"/>
    <w:rsid w:val="00C3357F"/>
    <w:rsid w:val="00C34F64"/>
    <w:rsid w:val="00C3560E"/>
    <w:rsid w:val="00C37F16"/>
    <w:rsid w:val="00C37FDB"/>
    <w:rsid w:val="00C4134A"/>
    <w:rsid w:val="00C416D6"/>
    <w:rsid w:val="00C44EB3"/>
    <w:rsid w:val="00C45E66"/>
    <w:rsid w:val="00C509A1"/>
    <w:rsid w:val="00C539B0"/>
    <w:rsid w:val="00C564F3"/>
    <w:rsid w:val="00C56588"/>
    <w:rsid w:val="00C660CD"/>
    <w:rsid w:val="00C70E2F"/>
    <w:rsid w:val="00C72106"/>
    <w:rsid w:val="00C72FB6"/>
    <w:rsid w:val="00C740FB"/>
    <w:rsid w:val="00C76F05"/>
    <w:rsid w:val="00C80CEC"/>
    <w:rsid w:val="00C8136B"/>
    <w:rsid w:val="00C816E1"/>
    <w:rsid w:val="00C82786"/>
    <w:rsid w:val="00C839B0"/>
    <w:rsid w:val="00C85090"/>
    <w:rsid w:val="00C86621"/>
    <w:rsid w:val="00C870A5"/>
    <w:rsid w:val="00C903A3"/>
    <w:rsid w:val="00C90BAD"/>
    <w:rsid w:val="00C90D92"/>
    <w:rsid w:val="00C91891"/>
    <w:rsid w:val="00C918C0"/>
    <w:rsid w:val="00C921B2"/>
    <w:rsid w:val="00C926A0"/>
    <w:rsid w:val="00C96DB0"/>
    <w:rsid w:val="00C97899"/>
    <w:rsid w:val="00CA1851"/>
    <w:rsid w:val="00CA3DC5"/>
    <w:rsid w:val="00CA407A"/>
    <w:rsid w:val="00CA46DF"/>
    <w:rsid w:val="00CA57BF"/>
    <w:rsid w:val="00CA6796"/>
    <w:rsid w:val="00CA6CBA"/>
    <w:rsid w:val="00CB1134"/>
    <w:rsid w:val="00CB5147"/>
    <w:rsid w:val="00CB69A0"/>
    <w:rsid w:val="00CB70AB"/>
    <w:rsid w:val="00CC13ED"/>
    <w:rsid w:val="00CC388C"/>
    <w:rsid w:val="00CC53AD"/>
    <w:rsid w:val="00CC5728"/>
    <w:rsid w:val="00CC5D4D"/>
    <w:rsid w:val="00CC6D01"/>
    <w:rsid w:val="00CC7B0F"/>
    <w:rsid w:val="00CD23B8"/>
    <w:rsid w:val="00CD24A7"/>
    <w:rsid w:val="00CD40E6"/>
    <w:rsid w:val="00CD520C"/>
    <w:rsid w:val="00CD52DF"/>
    <w:rsid w:val="00CD5673"/>
    <w:rsid w:val="00CD5860"/>
    <w:rsid w:val="00CD5B93"/>
    <w:rsid w:val="00CD5BB1"/>
    <w:rsid w:val="00CD5E4E"/>
    <w:rsid w:val="00CD7574"/>
    <w:rsid w:val="00CE0D03"/>
    <w:rsid w:val="00CE258D"/>
    <w:rsid w:val="00CE271E"/>
    <w:rsid w:val="00CE282A"/>
    <w:rsid w:val="00CE28D5"/>
    <w:rsid w:val="00CE63F6"/>
    <w:rsid w:val="00CE73A8"/>
    <w:rsid w:val="00CF134D"/>
    <w:rsid w:val="00CF1E16"/>
    <w:rsid w:val="00CF2D65"/>
    <w:rsid w:val="00CF3131"/>
    <w:rsid w:val="00CF3C3F"/>
    <w:rsid w:val="00CF65D0"/>
    <w:rsid w:val="00CF6973"/>
    <w:rsid w:val="00CF69E3"/>
    <w:rsid w:val="00CF6C16"/>
    <w:rsid w:val="00CF6E93"/>
    <w:rsid w:val="00CF6F8E"/>
    <w:rsid w:val="00CF75E1"/>
    <w:rsid w:val="00D00BBE"/>
    <w:rsid w:val="00D01584"/>
    <w:rsid w:val="00D015AC"/>
    <w:rsid w:val="00D016A8"/>
    <w:rsid w:val="00D022DE"/>
    <w:rsid w:val="00D02F59"/>
    <w:rsid w:val="00D03254"/>
    <w:rsid w:val="00D050F0"/>
    <w:rsid w:val="00D051EA"/>
    <w:rsid w:val="00D07170"/>
    <w:rsid w:val="00D108A6"/>
    <w:rsid w:val="00D11B93"/>
    <w:rsid w:val="00D12C10"/>
    <w:rsid w:val="00D1427C"/>
    <w:rsid w:val="00D22545"/>
    <w:rsid w:val="00D22D66"/>
    <w:rsid w:val="00D23071"/>
    <w:rsid w:val="00D2364B"/>
    <w:rsid w:val="00D23E02"/>
    <w:rsid w:val="00D26039"/>
    <w:rsid w:val="00D26A5A"/>
    <w:rsid w:val="00D31CA2"/>
    <w:rsid w:val="00D31E2F"/>
    <w:rsid w:val="00D3215D"/>
    <w:rsid w:val="00D3337F"/>
    <w:rsid w:val="00D3549C"/>
    <w:rsid w:val="00D3588F"/>
    <w:rsid w:val="00D361E2"/>
    <w:rsid w:val="00D37948"/>
    <w:rsid w:val="00D40CB7"/>
    <w:rsid w:val="00D41BDD"/>
    <w:rsid w:val="00D42157"/>
    <w:rsid w:val="00D430E4"/>
    <w:rsid w:val="00D43151"/>
    <w:rsid w:val="00D446EE"/>
    <w:rsid w:val="00D4573D"/>
    <w:rsid w:val="00D45FA8"/>
    <w:rsid w:val="00D4648A"/>
    <w:rsid w:val="00D4676F"/>
    <w:rsid w:val="00D4793E"/>
    <w:rsid w:val="00D5290A"/>
    <w:rsid w:val="00D52D3E"/>
    <w:rsid w:val="00D53FA8"/>
    <w:rsid w:val="00D54EE0"/>
    <w:rsid w:val="00D553C8"/>
    <w:rsid w:val="00D55BE3"/>
    <w:rsid w:val="00D5604D"/>
    <w:rsid w:val="00D57BF0"/>
    <w:rsid w:val="00D6182C"/>
    <w:rsid w:val="00D618DA"/>
    <w:rsid w:val="00D62202"/>
    <w:rsid w:val="00D62DB6"/>
    <w:rsid w:val="00D640F9"/>
    <w:rsid w:val="00D663B6"/>
    <w:rsid w:val="00D66434"/>
    <w:rsid w:val="00D671F7"/>
    <w:rsid w:val="00D70290"/>
    <w:rsid w:val="00D7094E"/>
    <w:rsid w:val="00D70973"/>
    <w:rsid w:val="00D733E7"/>
    <w:rsid w:val="00D737C9"/>
    <w:rsid w:val="00D73D37"/>
    <w:rsid w:val="00D751A9"/>
    <w:rsid w:val="00D755D8"/>
    <w:rsid w:val="00D76468"/>
    <w:rsid w:val="00D76687"/>
    <w:rsid w:val="00D802D1"/>
    <w:rsid w:val="00D848FC"/>
    <w:rsid w:val="00D84F14"/>
    <w:rsid w:val="00D85116"/>
    <w:rsid w:val="00D875FA"/>
    <w:rsid w:val="00D920BD"/>
    <w:rsid w:val="00D926A0"/>
    <w:rsid w:val="00D92951"/>
    <w:rsid w:val="00D93B41"/>
    <w:rsid w:val="00D96CF9"/>
    <w:rsid w:val="00D971B0"/>
    <w:rsid w:val="00DA0522"/>
    <w:rsid w:val="00DA0CAB"/>
    <w:rsid w:val="00DA1E3F"/>
    <w:rsid w:val="00DA70EE"/>
    <w:rsid w:val="00DA76DA"/>
    <w:rsid w:val="00DB0A57"/>
    <w:rsid w:val="00DB1A32"/>
    <w:rsid w:val="00DB4CEB"/>
    <w:rsid w:val="00DB5C09"/>
    <w:rsid w:val="00DB6466"/>
    <w:rsid w:val="00DB6B0D"/>
    <w:rsid w:val="00DB6F6F"/>
    <w:rsid w:val="00DC0EBA"/>
    <w:rsid w:val="00DC2DFD"/>
    <w:rsid w:val="00DC4220"/>
    <w:rsid w:val="00DD0A5A"/>
    <w:rsid w:val="00DD1FC7"/>
    <w:rsid w:val="00DD34A7"/>
    <w:rsid w:val="00DD35D5"/>
    <w:rsid w:val="00DD4FDD"/>
    <w:rsid w:val="00DD5A47"/>
    <w:rsid w:val="00DE0DB2"/>
    <w:rsid w:val="00DE1118"/>
    <w:rsid w:val="00DE1DB9"/>
    <w:rsid w:val="00DE29B9"/>
    <w:rsid w:val="00DE324B"/>
    <w:rsid w:val="00DE330F"/>
    <w:rsid w:val="00DE3EDA"/>
    <w:rsid w:val="00DE5B29"/>
    <w:rsid w:val="00DE6871"/>
    <w:rsid w:val="00DF145D"/>
    <w:rsid w:val="00DF2150"/>
    <w:rsid w:val="00DF32A5"/>
    <w:rsid w:val="00DF550C"/>
    <w:rsid w:val="00DF630D"/>
    <w:rsid w:val="00DF6466"/>
    <w:rsid w:val="00DF6A14"/>
    <w:rsid w:val="00DF71F2"/>
    <w:rsid w:val="00DF767F"/>
    <w:rsid w:val="00E00B43"/>
    <w:rsid w:val="00E01097"/>
    <w:rsid w:val="00E01416"/>
    <w:rsid w:val="00E01A6F"/>
    <w:rsid w:val="00E02826"/>
    <w:rsid w:val="00E030AC"/>
    <w:rsid w:val="00E0328D"/>
    <w:rsid w:val="00E035A4"/>
    <w:rsid w:val="00E03D44"/>
    <w:rsid w:val="00E03E97"/>
    <w:rsid w:val="00E04237"/>
    <w:rsid w:val="00E04FA5"/>
    <w:rsid w:val="00E05174"/>
    <w:rsid w:val="00E05F88"/>
    <w:rsid w:val="00E10A67"/>
    <w:rsid w:val="00E112F0"/>
    <w:rsid w:val="00E11604"/>
    <w:rsid w:val="00E1371B"/>
    <w:rsid w:val="00E13B23"/>
    <w:rsid w:val="00E14A7F"/>
    <w:rsid w:val="00E16021"/>
    <w:rsid w:val="00E16363"/>
    <w:rsid w:val="00E20222"/>
    <w:rsid w:val="00E20993"/>
    <w:rsid w:val="00E237BE"/>
    <w:rsid w:val="00E239C0"/>
    <w:rsid w:val="00E2414D"/>
    <w:rsid w:val="00E24B4B"/>
    <w:rsid w:val="00E260B5"/>
    <w:rsid w:val="00E26E9B"/>
    <w:rsid w:val="00E30307"/>
    <w:rsid w:val="00E319D4"/>
    <w:rsid w:val="00E32504"/>
    <w:rsid w:val="00E338CB"/>
    <w:rsid w:val="00E35D47"/>
    <w:rsid w:val="00E37E02"/>
    <w:rsid w:val="00E40064"/>
    <w:rsid w:val="00E43310"/>
    <w:rsid w:val="00E44DC0"/>
    <w:rsid w:val="00E5001C"/>
    <w:rsid w:val="00E50856"/>
    <w:rsid w:val="00E54656"/>
    <w:rsid w:val="00E55683"/>
    <w:rsid w:val="00E55CB2"/>
    <w:rsid w:val="00E572DF"/>
    <w:rsid w:val="00E62005"/>
    <w:rsid w:val="00E64041"/>
    <w:rsid w:val="00E65EB4"/>
    <w:rsid w:val="00E71105"/>
    <w:rsid w:val="00E7272B"/>
    <w:rsid w:val="00E761BC"/>
    <w:rsid w:val="00E803A3"/>
    <w:rsid w:val="00E80F7C"/>
    <w:rsid w:val="00E81207"/>
    <w:rsid w:val="00E82414"/>
    <w:rsid w:val="00E834AD"/>
    <w:rsid w:val="00E835DD"/>
    <w:rsid w:val="00E8397E"/>
    <w:rsid w:val="00E83A89"/>
    <w:rsid w:val="00E83AA1"/>
    <w:rsid w:val="00E84522"/>
    <w:rsid w:val="00E8606D"/>
    <w:rsid w:val="00E8711D"/>
    <w:rsid w:val="00E877A5"/>
    <w:rsid w:val="00E9009E"/>
    <w:rsid w:val="00E9153A"/>
    <w:rsid w:val="00E934AF"/>
    <w:rsid w:val="00E9497B"/>
    <w:rsid w:val="00E977DB"/>
    <w:rsid w:val="00EA0247"/>
    <w:rsid w:val="00EA054E"/>
    <w:rsid w:val="00EA0F8A"/>
    <w:rsid w:val="00EA1FAD"/>
    <w:rsid w:val="00EA2604"/>
    <w:rsid w:val="00EA3B42"/>
    <w:rsid w:val="00EA5326"/>
    <w:rsid w:val="00EA7A6A"/>
    <w:rsid w:val="00EB087E"/>
    <w:rsid w:val="00EB27DE"/>
    <w:rsid w:val="00EB3AA5"/>
    <w:rsid w:val="00EB4A55"/>
    <w:rsid w:val="00EC0CC9"/>
    <w:rsid w:val="00EC18DF"/>
    <w:rsid w:val="00EC4D63"/>
    <w:rsid w:val="00EC4EC7"/>
    <w:rsid w:val="00EC7E9A"/>
    <w:rsid w:val="00ED07AC"/>
    <w:rsid w:val="00ED0966"/>
    <w:rsid w:val="00ED0FE1"/>
    <w:rsid w:val="00ED21EF"/>
    <w:rsid w:val="00ED2B82"/>
    <w:rsid w:val="00ED3526"/>
    <w:rsid w:val="00ED4665"/>
    <w:rsid w:val="00ED498D"/>
    <w:rsid w:val="00ED4A3C"/>
    <w:rsid w:val="00ED5301"/>
    <w:rsid w:val="00ED72A6"/>
    <w:rsid w:val="00ED753B"/>
    <w:rsid w:val="00EE001B"/>
    <w:rsid w:val="00EE263C"/>
    <w:rsid w:val="00EE2E06"/>
    <w:rsid w:val="00EE4128"/>
    <w:rsid w:val="00EE6D13"/>
    <w:rsid w:val="00EF0869"/>
    <w:rsid w:val="00EF1C5A"/>
    <w:rsid w:val="00EF3875"/>
    <w:rsid w:val="00EF4391"/>
    <w:rsid w:val="00EF51A8"/>
    <w:rsid w:val="00EF5326"/>
    <w:rsid w:val="00EF5DB7"/>
    <w:rsid w:val="00EF65DF"/>
    <w:rsid w:val="00F00C70"/>
    <w:rsid w:val="00F00DC7"/>
    <w:rsid w:val="00F01386"/>
    <w:rsid w:val="00F013CD"/>
    <w:rsid w:val="00F028D5"/>
    <w:rsid w:val="00F0378B"/>
    <w:rsid w:val="00F05DCD"/>
    <w:rsid w:val="00F06530"/>
    <w:rsid w:val="00F07F19"/>
    <w:rsid w:val="00F11DC5"/>
    <w:rsid w:val="00F11F18"/>
    <w:rsid w:val="00F15229"/>
    <w:rsid w:val="00F1698D"/>
    <w:rsid w:val="00F216EE"/>
    <w:rsid w:val="00F216F9"/>
    <w:rsid w:val="00F21DE1"/>
    <w:rsid w:val="00F2220A"/>
    <w:rsid w:val="00F22309"/>
    <w:rsid w:val="00F224FA"/>
    <w:rsid w:val="00F31CF6"/>
    <w:rsid w:val="00F32354"/>
    <w:rsid w:val="00F34B3A"/>
    <w:rsid w:val="00F3567E"/>
    <w:rsid w:val="00F36692"/>
    <w:rsid w:val="00F36C98"/>
    <w:rsid w:val="00F402C8"/>
    <w:rsid w:val="00F41803"/>
    <w:rsid w:val="00F425A1"/>
    <w:rsid w:val="00F42C39"/>
    <w:rsid w:val="00F438FB"/>
    <w:rsid w:val="00F45FB3"/>
    <w:rsid w:val="00F4628C"/>
    <w:rsid w:val="00F46F26"/>
    <w:rsid w:val="00F515E5"/>
    <w:rsid w:val="00F53208"/>
    <w:rsid w:val="00F53335"/>
    <w:rsid w:val="00F542DF"/>
    <w:rsid w:val="00F549CE"/>
    <w:rsid w:val="00F561B1"/>
    <w:rsid w:val="00F60BB6"/>
    <w:rsid w:val="00F610CD"/>
    <w:rsid w:val="00F629B7"/>
    <w:rsid w:val="00F62B01"/>
    <w:rsid w:val="00F65B5A"/>
    <w:rsid w:val="00F67EEF"/>
    <w:rsid w:val="00F707AC"/>
    <w:rsid w:val="00F70C72"/>
    <w:rsid w:val="00F7307B"/>
    <w:rsid w:val="00F81889"/>
    <w:rsid w:val="00F82649"/>
    <w:rsid w:val="00F85D32"/>
    <w:rsid w:val="00F863DC"/>
    <w:rsid w:val="00F91686"/>
    <w:rsid w:val="00F96DF2"/>
    <w:rsid w:val="00F97D8E"/>
    <w:rsid w:val="00FA02D7"/>
    <w:rsid w:val="00FA1971"/>
    <w:rsid w:val="00FA4FF1"/>
    <w:rsid w:val="00FA6547"/>
    <w:rsid w:val="00FA6B83"/>
    <w:rsid w:val="00FB207C"/>
    <w:rsid w:val="00FB2278"/>
    <w:rsid w:val="00FB37FA"/>
    <w:rsid w:val="00FB3903"/>
    <w:rsid w:val="00FB5049"/>
    <w:rsid w:val="00FB537C"/>
    <w:rsid w:val="00FB5C57"/>
    <w:rsid w:val="00FB5E00"/>
    <w:rsid w:val="00FB6F7A"/>
    <w:rsid w:val="00FC0023"/>
    <w:rsid w:val="00FC29EE"/>
    <w:rsid w:val="00FD03C7"/>
    <w:rsid w:val="00FD08BB"/>
    <w:rsid w:val="00FD1E65"/>
    <w:rsid w:val="00FD1E76"/>
    <w:rsid w:val="00FD365C"/>
    <w:rsid w:val="00FD479E"/>
    <w:rsid w:val="00FD4B60"/>
    <w:rsid w:val="00FD542C"/>
    <w:rsid w:val="00FD614E"/>
    <w:rsid w:val="00FD7C4D"/>
    <w:rsid w:val="00FE3028"/>
    <w:rsid w:val="00FE30A9"/>
    <w:rsid w:val="00FE369F"/>
    <w:rsid w:val="00FE59BE"/>
    <w:rsid w:val="00FE6ADB"/>
    <w:rsid w:val="00FF1B32"/>
    <w:rsid w:val="00FF533F"/>
    <w:rsid w:val="00FF5DF0"/>
    <w:rsid w:val="00FF783A"/>
    <w:rsid w:val="01B32A15"/>
    <w:rsid w:val="01EAF596"/>
    <w:rsid w:val="03197042"/>
    <w:rsid w:val="0362F3F7"/>
    <w:rsid w:val="03F726FE"/>
    <w:rsid w:val="04F2EE84"/>
    <w:rsid w:val="06F9D9BD"/>
    <w:rsid w:val="07595AF5"/>
    <w:rsid w:val="08F4385A"/>
    <w:rsid w:val="0915235C"/>
    <w:rsid w:val="098A6639"/>
    <w:rsid w:val="098E7301"/>
    <w:rsid w:val="09DEDD6D"/>
    <w:rsid w:val="0A341241"/>
    <w:rsid w:val="0BBC7CAD"/>
    <w:rsid w:val="0C0AD9E8"/>
    <w:rsid w:val="0C4A58C5"/>
    <w:rsid w:val="0C9F93E9"/>
    <w:rsid w:val="0D0ACCBD"/>
    <w:rsid w:val="0E01BBE1"/>
    <w:rsid w:val="0F16EF5A"/>
    <w:rsid w:val="0F7EAB12"/>
    <w:rsid w:val="0FC81710"/>
    <w:rsid w:val="10AD5E70"/>
    <w:rsid w:val="1144DCBC"/>
    <w:rsid w:val="1149DB7E"/>
    <w:rsid w:val="1171AF64"/>
    <w:rsid w:val="118AF110"/>
    <w:rsid w:val="118E9CEF"/>
    <w:rsid w:val="133EB3C4"/>
    <w:rsid w:val="16CB2850"/>
    <w:rsid w:val="17A8E370"/>
    <w:rsid w:val="17D7B886"/>
    <w:rsid w:val="18390DF8"/>
    <w:rsid w:val="18717CF5"/>
    <w:rsid w:val="18A0B1F9"/>
    <w:rsid w:val="191B8A81"/>
    <w:rsid w:val="1931A34D"/>
    <w:rsid w:val="1A894CEE"/>
    <w:rsid w:val="1AB8D52A"/>
    <w:rsid w:val="1ABA8F06"/>
    <w:rsid w:val="1B6501C8"/>
    <w:rsid w:val="1D7EF483"/>
    <w:rsid w:val="1DE50FC1"/>
    <w:rsid w:val="1E2B20F4"/>
    <w:rsid w:val="1E3CE3A2"/>
    <w:rsid w:val="1F3C8B1C"/>
    <w:rsid w:val="206D2BE8"/>
    <w:rsid w:val="2102F30C"/>
    <w:rsid w:val="21C296D8"/>
    <w:rsid w:val="2252AA50"/>
    <w:rsid w:val="225668FD"/>
    <w:rsid w:val="2288CDAA"/>
    <w:rsid w:val="234D3E79"/>
    <w:rsid w:val="23845FC0"/>
    <w:rsid w:val="2413A398"/>
    <w:rsid w:val="246BBBFD"/>
    <w:rsid w:val="24EB8142"/>
    <w:rsid w:val="2580C405"/>
    <w:rsid w:val="267BA6FF"/>
    <w:rsid w:val="26A7E5EB"/>
    <w:rsid w:val="26B9407C"/>
    <w:rsid w:val="270D58C6"/>
    <w:rsid w:val="2778A012"/>
    <w:rsid w:val="27F1C62A"/>
    <w:rsid w:val="28A08DB8"/>
    <w:rsid w:val="28C51508"/>
    <w:rsid w:val="29E1B27F"/>
    <w:rsid w:val="2AD59E08"/>
    <w:rsid w:val="2B195170"/>
    <w:rsid w:val="2B406421"/>
    <w:rsid w:val="2B73C24D"/>
    <w:rsid w:val="2BCA0245"/>
    <w:rsid w:val="2C08AD1B"/>
    <w:rsid w:val="2C24B438"/>
    <w:rsid w:val="2D4573DE"/>
    <w:rsid w:val="2E97C215"/>
    <w:rsid w:val="2EB2BB5E"/>
    <w:rsid w:val="2F0EB889"/>
    <w:rsid w:val="2FAD5E32"/>
    <w:rsid w:val="2FD9C289"/>
    <w:rsid w:val="300A062E"/>
    <w:rsid w:val="303F7DFE"/>
    <w:rsid w:val="306812AE"/>
    <w:rsid w:val="3069C3A9"/>
    <w:rsid w:val="30E34BAF"/>
    <w:rsid w:val="3165F853"/>
    <w:rsid w:val="325650FB"/>
    <w:rsid w:val="32E2BF81"/>
    <w:rsid w:val="34162060"/>
    <w:rsid w:val="3587401A"/>
    <w:rsid w:val="35F5FD5C"/>
    <w:rsid w:val="36307441"/>
    <w:rsid w:val="375575DF"/>
    <w:rsid w:val="3792BF26"/>
    <w:rsid w:val="38512AA5"/>
    <w:rsid w:val="393DC5FA"/>
    <w:rsid w:val="39626150"/>
    <w:rsid w:val="39E2B891"/>
    <w:rsid w:val="3B3BC3E4"/>
    <w:rsid w:val="3BCC2BF4"/>
    <w:rsid w:val="3BD5ED99"/>
    <w:rsid w:val="3C5443A1"/>
    <w:rsid w:val="3CC8652B"/>
    <w:rsid w:val="3D3BB7C0"/>
    <w:rsid w:val="3D75D2BC"/>
    <w:rsid w:val="3E0ED739"/>
    <w:rsid w:val="3E627EB8"/>
    <w:rsid w:val="3E87AD83"/>
    <w:rsid w:val="3FFB5D64"/>
    <w:rsid w:val="409E3184"/>
    <w:rsid w:val="40C1923E"/>
    <w:rsid w:val="40D5730F"/>
    <w:rsid w:val="41B552E7"/>
    <w:rsid w:val="41D8E0B6"/>
    <w:rsid w:val="41F682AD"/>
    <w:rsid w:val="4218ECD8"/>
    <w:rsid w:val="427695A8"/>
    <w:rsid w:val="42A05035"/>
    <w:rsid w:val="4350B30A"/>
    <w:rsid w:val="448FAC8B"/>
    <w:rsid w:val="44ADD5F2"/>
    <w:rsid w:val="45972095"/>
    <w:rsid w:val="45A255F3"/>
    <w:rsid w:val="45F26151"/>
    <w:rsid w:val="479BB629"/>
    <w:rsid w:val="47FD1BD2"/>
    <w:rsid w:val="48141D65"/>
    <w:rsid w:val="482B232D"/>
    <w:rsid w:val="4841DFFC"/>
    <w:rsid w:val="485F8B5C"/>
    <w:rsid w:val="49026C9D"/>
    <w:rsid w:val="4919683D"/>
    <w:rsid w:val="4985CC28"/>
    <w:rsid w:val="49D72F99"/>
    <w:rsid w:val="4A9DD2A1"/>
    <w:rsid w:val="4B33BA06"/>
    <w:rsid w:val="4B76841A"/>
    <w:rsid w:val="4BB77714"/>
    <w:rsid w:val="4BC1779D"/>
    <w:rsid w:val="4C0D38D7"/>
    <w:rsid w:val="4C5328AA"/>
    <w:rsid w:val="4C88A655"/>
    <w:rsid w:val="4C8C0054"/>
    <w:rsid w:val="4CFEF27C"/>
    <w:rsid w:val="4DACE654"/>
    <w:rsid w:val="4E32D3CB"/>
    <w:rsid w:val="4E37DF2E"/>
    <w:rsid w:val="4E71E7AF"/>
    <w:rsid w:val="4E9613C7"/>
    <w:rsid w:val="4EB816A8"/>
    <w:rsid w:val="4EE268AD"/>
    <w:rsid w:val="4F336928"/>
    <w:rsid w:val="4F57047D"/>
    <w:rsid w:val="50A53866"/>
    <w:rsid w:val="50C4F02C"/>
    <w:rsid w:val="511AC239"/>
    <w:rsid w:val="511DD800"/>
    <w:rsid w:val="51BD3E31"/>
    <w:rsid w:val="52019708"/>
    <w:rsid w:val="52429DD6"/>
    <w:rsid w:val="524943B2"/>
    <w:rsid w:val="525A4B91"/>
    <w:rsid w:val="52C8F72F"/>
    <w:rsid w:val="52EAB707"/>
    <w:rsid w:val="5377C5ED"/>
    <w:rsid w:val="53B8018E"/>
    <w:rsid w:val="5405258C"/>
    <w:rsid w:val="5534B6DA"/>
    <w:rsid w:val="55AA214E"/>
    <w:rsid w:val="564FFF0F"/>
    <w:rsid w:val="5655F01C"/>
    <w:rsid w:val="57E54783"/>
    <w:rsid w:val="58E0136B"/>
    <w:rsid w:val="58E06243"/>
    <w:rsid w:val="5963B69F"/>
    <w:rsid w:val="5A6D3F26"/>
    <w:rsid w:val="5B31D3D3"/>
    <w:rsid w:val="5B9F80DB"/>
    <w:rsid w:val="5BEC66F9"/>
    <w:rsid w:val="5C11712F"/>
    <w:rsid w:val="5C513EE6"/>
    <w:rsid w:val="5C7BA912"/>
    <w:rsid w:val="5D4A1E13"/>
    <w:rsid w:val="5DA13393"/>
    <w:rsid w:val="5DADF60A"/>
    <w:rsid w:val="5EB7C681"/>
    <w:rsid w:val="5EB9FC95"/>
    <w:rsid w:val="5F32EB5F"/>
    <w:rsid w:val="5F3E8C11"/>
    <w:rsid w:val="5F4618B1"/>
    <w:rsid w:val="5F7BC081"/>
    <w:rsid w:val="5FFDF29B"/>
    <w:rsid w:val="6024D019"/>
    <w:rsid w:val="6041B786"/>
    <w:rsid w:val="607D4501"/>
    <w:rsid w:val="60BCEFCD"/>
    <w:rsid w:val="60CE4AA6"/>
    <w:rsid w:val="61EA9A10"/>
    <w:rsid w:val="62D0AFFB"/>
    <w:rsid w:val="6326F308"/>
    <w:rsid w:val="6352F695"/>
    <w:rsid w:val="638ECFB2"/>
    <w:rsid w:val="63CC382F"/>
    <w:rsid w:val="63CE6757"/>
    <w:rsid w:val="63D382B6"/>
    <w:rsid w:val="63F2D569"/>
    <w:rsid w:val="63F75332"/>
    <w:rsid w:val="644831B5"/>
    <w:rsid w:val="64D34A8D"/>
    <w:rsid w:val="65D30A2A"/>
    <w:rsid w:val="67125A1E"/>
    <w:rsid w:val="677E2005"/>
    <w:rsid w:val="679AB20F"/>
    <w:rsid w:val="67D50869"/>
    <w:rsid w:val="681C8FC9"/>
    <w:rsid w:val="6934B100"/>
    <w:rsid w:val="69524300"/>
    <w:rsid w:val="69D08FA6"/>
    <w:rsid w:val="6A4E2B9D"/>
    <w:rsid w:val="6C36113F"/>
    <w:rsid w:val="6C6792F4"/>
    <w:rsid w:val="6C68EB51"/>
    <w:rsid w:val="6CFCA01E"/>
    <w:rsid w:val="6DD394A8"/>
    <w:rsid w:val="6E47EAC4"/>
    <w:rsid w:val="6E6BD86A"/>
    <w:rsid w:val="6E756A9A"/>
    <w:rsid w:val="7002FAD1"/>
    <w:rsid w:val="70278EC3"/>
    <w:rsid w:val="70A45AC2"/>
    <w:rsid w:val="7129CEC1"/>
    <w:rsid w:val="7134B451"/>
    <w:rsid w:val="71AB3D14"/>
    <w:rsid w:val="720ABA97"/>
    <w:rsid w:val="725B3C42"/>
    <w:rsid w:val="74029E4E"/>
    <w:rsid w:val="743E2CAC"/>
    <w:rsid w:val="744F0101"/>
    <w:rsid w:val="74696FA6"/>
    <w:rsid w:val="74BDFDF1"/>
    <w:rsid w:val="74E7BB43"/>
    <w:rsid w:val="74ED798D"/>
    <w:rsid w:val="75355DD9"/>
    <w:rsid w:val="75F3C967"/>
    <w:rsid w:val="7668C210"/>
    <w:rsid w:val="76A47174"/>
    <w:rsid w:val="776410E7"/>
    <w:rsid w:val="78252477"/>
    <w:rsid w:val="78B4F5F6"/>
    <w:rsid w:val="790E9265"/>
    <w:rsid w:val="792FC21B"/>
    <w:rsid w:val="79357363"/>
    <w:rsid w:val="797B0BF8"/>
    <w:rsid w:val="797EFDD9"/>
    <w:rsid w:val="7A540FB8"/>
    <w:rsid w:val="7AE2E66C"/>
    <w:rsid w:val="7B5CD3AE"/>
    <w:rsid w:val="7BBAE2C4"/>
    <w:rsid w:val="7BC95F1D"/>
    <w:rsid w:val="7BF357CC"/>
    <w:rsid w:val="7C839F35"/>
    <w:rsid w:val="7CDDE619"/>
    <w:rsid w:val="7CE070D2"/>
    <w:rsid w:val="7DAE5CA2"/>
    <w:rsid w:val="7DC75948"/>
    <w:rsid w:val="7DCBE790"/>
    <w:rsid w:val="7E472E0E"/>
    <w:rsid w:val="7E5E7CC1"/>
    <w:rsid w:val="7E92F225"/>
    <w:rsid w:val="7EA3385A"/>
    <w:rsid w:val="7EADDCD4"/>
    <w:rsid w:val="7F15349B"/>
    <w:rsid w:val="7FB778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E4EE7"/>
  <w15:chartTrackingRefBased/>
  <w15:docId w15:val="{3EAC9B98-5564-4E25-B484-E290F34C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7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E3"/>
    <w:rPr>
      <w:rFonts w:ascii="Segoe UI" w:hAnsi="Segoe UI" w:cs="Segoe UI"/>
      <w:sz w:val="18"/>
      <w:szCs w:val="18"/>
    </w:rPr>
  </w:style>
  <w:style w:type="paragraph" w:styleId="CommentText">
    <w:name w:val="annotation text"/>
    <w:basedOn w:val="Normal"/>
    <w:link w:val="CommentTextChar"/>
    <w:uiPriority w:val="99"/>
    <w:semiHidden/>
    <w:unhideWhenUsed/>
    <w:rsid w:val="00DF550C"/>
    <w:pPr>
      <w:spacing w:line="240" w:lineRule="auto"/>
    </w:pPr>
    <w:rPr>
      <w:sz w:val="20"/>
      <w:szCs w:val="20"/>
    </w:rPr>
  </w:style>
  <w:style w:type="character" w:customStyle="1" w:styleId="CommentTextChar">
    <w:name w:val="Comment Text Char"/>
    <w:basedOn w:val="DefaultParagraphFont"/>
    <w:link w:val="CommentText"/>
    <w:uiPriority w:val="99"/>
    <w:semiHidden/>
    <w:rsid w:val="00DF550C"/>
    <w:rPr>
      <w:sz w:val="20"/>
      <w:szCs w:val="20"/>
    </w:rPr>
  </w:style>
  <w:style w:type="character" w:styleId="CommentReference">
    <w:name w:val="annotation reference"/>
    <w:basedOn w:val="DefaultParagraphFont"/>
    <w:uiPriority w:val="99"/>
    <w:semiHidden/>
    <w:unhideWhenUsed/>
    <w:rsid w:val="00DF550C"/>
    <w:rPr>
      <w:sz w:val="16"/>
      <w:szCs w:val="16"/>
    </w:rPr>
  </w:style>
  <w:style w:type="paragraph" w:styleId="CommentSubject">
    <w:name w:val="annotation subject"/>
    <w:basedOn w:val="CommentText"/>
    <w:next w:val="CommentText"/>
    <w:link w:val="CommentSubjectChar"/>
    <w:uiPriority w:val="99"/>
    <w:semiHidden/>
    <w:unhideWhenUsed/>
    <w:rsid w:val="00A6324F"/>
    <w:rPr>
      <w:b/>
      <w:bCs/>
    </w:rPr>
  </w:style>
  <w:style w:type="character" w:customStyle="1" w:styleId="CommentSubjectChar">
    <w:name w:val="Comment Subject Char"/>
    <w:basedOn w:val="CommentTextChar"/>
    <w:link w:val="CommentSubject"/>
    <w:uiPriority w:val="99"/>
    <w:semiHidden/>
    <w:rsid w:val="00A6324F"/>
    <w:rPr>
      <w:b/>
      <w:bCs/>
      <w:sz w:val="20"/>
      <w:szCs w:val="20"/>
    </w:rPr>
  </w:style>
  <w:style w:type="paragraph" w:styleId="Revision">
    <w:name w:val="Revision"/>
    <w:hidden/>
    <w:uiPriority w:val="99"/>
    <w:semiHidden/>
    <w:rsid w:val="00D618DA"/>
    <w:pPr>
      <w:spacing w:after="0" w:line="240" w:lineRule="auto"/>
    </w:pPr>
  </w:style>
  <w:style w:type="paragraph" w:styleId="ListParagraph">
    <w:name w:val="List Paragraph"/>
    <w:basedOn w:val="Normal"/>
    <w:uiPriority w:val="34"/>
    <w:qFormat/>
    <w:rsid w:val="00D618DA"/>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745DA"/>
    <w:rPr>
      <w:color w:val="231F20" w:themeColor="hyperlink"/>
      <w:u w:val="single"/>
    </w:rPr>
  </w:style>
  <w:style w:type="character" w:styleId="UnresolvedMention">
    <w:name w:val="Unresolved Mention"/>
    <w:basedOn w:val="DefaultParagraphFont"/>
    <w:uiPriority w:val="99"/>
    <w:semiHidden/>
    <w:unhideWhenUsed/>
    <w:rsid w:val="006745DA"/>
    <w:rPr>
      <w:color w:val="605E5C"/>
      <w:shd w:val="clear" w:color="auto" w:fill="E1DFDD"/>
    </w:rPr>
  </w:style>
  <w:style w:type="character" w:styleId="Mention">
    <w:name w:val="Mention"/>
    <w:basedOn w:val="DefaultParagraphFont"/>
    <w:uiPriority w:val="99"/>
    <w:unhideWhenUsed/>
    <w:rsid w:val="00E02826"/>
    <w:rPr>
      <w:color w:val="2B579A"/>
      <w:shd w:val="clear" w:color="auto" w:fill="E6E6E6"/>
    </w:rPr>
  </w:style>
  <w:style w:type="character" w:customStyle="1" w:styleId="normaltextrun">
    <w:name w:val="normaltextrun"/>
    <w:basedOn w:val="DefaultParagraphFont"/>
    <w:rsid w:val="00160004"/>
  </w:style>
  <w:style w:type="character" w:customStyle="1" w:styleId="eop">
    <w:name w:val="eop"/>
    <w:basedOn w:val="DefaultParagraphFont"/>
    <w:rsid w:val="0016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4630">
      <w:bodyDiv w:val="1"/>
      <w:marLeft w:val="0"/>
      <w:marRight w:val="0"/>
      <w:marTop w:val="0"/>
      <w:marBottom w:val="0"/>
      <w:divBdr>
        <w:top w:val="none" w:sz="0" w:space="0" w:color="auto"/>
        <w:left w:val="none" w:sz="0" w:space="0" w:color="auto"/>
        <w:bottom w:val="none" w:sz="0" w:space="0" w:color="auto"/>
        <w:right w:val="none" w:sz="0" w:space="0" w:color="auto"/>
      </w:divBdr>
    </w:div>
    <w:div w:id="841705033">
      <w:bodyDiv w:val="1"/>
      <w:marLeft w:val="0"/>
      <w:marRight w:val="0"/>
      <w:marTop w:val="0"/>
      <w:marBottom w:val="0"/>
      <w:divBdr>
        <w:top w:val="none" w:sz="0" w:space="0" w:color="auto"/>
        <w:left w:val="none" w:sz="0" w:space="0" w:color="auto"/>
        <w:bottom w:val="none" w:sz="0" w:space="0" w:color="auto"/>
        <w:right w:val="none" w:sz="0" w:space="0" w:color="auto"/>
      </w:divBdr>
    </w:div>
    <w:div w:id="2077507977">
      <w:bodyDiv w:val="1"/>
      <w:marLeft w:val="0"/>
      <w:marRight w:val="0"/>
      <w:marTop w:val="0"/>
      <w:marBottom w:val="0"/>
      <w:divBdr>
        <w:top w:val="none" w:sz="0" w:space="0" w:color="auto"/>
        <w:left w:val="none" w:sz="0" w:space="0" w:color="auto"/>
        <w:bottom w:val="none" w:sz="0" w:space="0" w:color="auto"/>
        <w:right w:val="none" w:sz="0" w:space="0" w:color="auto"/>
      </w:divBdr>
      <w:divsChild>
        <w:div w:id="149514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TIA 2020-2021 Color Palette">
      <a:dk1>
        <a:srgbClr val="242424"/>
      </a:dk1>
      <a:lt1>
        <a:sysClr val="window" lastClr="FFFFFF"/>
      </a:lt1>
      <a:dk2>
        <a:srgbClr val="0D6CB9"/>
      </a:dk2>
      <a:lt2>
        <a:srgbClr val="E5E5E5"/>
      </a:lt2>
      <a:accent1>
        <a:srgbClr val="4472C4"/>
      </a:accent1>
      <a:accent2>
        <a:srgbClr val="F16038"/>
      </a:accent2>
      <a:accent3>
        <a:srgbClr val="92C841"/>
      </a:accent3>
      <a:accent4>
        <a:srgbClr val="05A79C"/>
      </a:accent4>
      <a:accent5>
        <a:srgbClr val="5B9BD5"/>
      </a:accent5>
      <a:accent6>
        <a:srgbClr val="F8CC2A"/>
      </a:accent6>
      <a:hlink>
        <a:srgbClr val="231F20"/>
      </a:hlink>
      <a:folHlink>
        <a:srgbClr val="F8CC2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3" ma:contentTypeDescription="Create a new document." ma:contentTypeScope="" ma:versionID="c45561007e932c51bd888715dd3f2608">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a75f1e26f7b00487428e8a5b37240869"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780d0d2-c080-455e-bee8-5b3382ef325a">
      <UserInfo>
        <DisplayName>Wu, Grace</DisplayName>
        <AccountId>134</AccountId>
        <AccountType/>
      </UserInfo>
      <UserInfo>
        <DisplayName>Brown, Cody</DisplayName>
        <AccountId>1157</AccountId>
        <AccountType/>
      </UserInfo>
      <UserInfo>
        <DisplayName>Swinney, Lyra</DisplayName>
        <AccountId>1238</AccountId>
        <AccountType/>
      </UserInfo>
    </SharedWithUsers>
    <PhotoTags xmlns="55ad0659-6a5d-4092-b991-df82805f26a4" xsi:nil="true"/>
  </documentManagement>
</p:properties>
</file>

<file path=customXml/itemProps1.xml><?xml version="1.0" encoding="utf-8"?>
<ds:datastoreItem xmlns:ds="http://schemas.openxmlformats.org/officeDocument/2006/customXml" ds:itemID="{B3CF60A5-58CF-4A7C-B40A-3AF7AA525F53}">
  <ds:schemaRefs>
    <ds:schemaRef ds:uri="http://schemas.microsoft.com/sharepoint/v3/contenttype/forms"/>
  </ds:schemaRefs>
</ds:datastoreItem>
</file>

<file path=customXml/itemProps2.xml><?xml version="1.0" encoding="utf-8"?>
<ds:datastoreItem xmlns:ds="http://schemas.openxmlformats.org/officeDocument/2006/customXml" ds:itemID="{BCB4313A-4BB6-4251-9F3C-BCDBBA9FD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9A22D-9837-4523-BC4A-EF2FA16CC9ED}">
  <ds:schemaRefs>
    <ds:schemaRef ds:uri="http://schemas.microsoft.com/office/2006/metadata/properties"/>
    <ds:schemaRef ds:uri="http://schemas.microsoft.com/office/infopath/2007/PartnerControls"/>
    <ds:schemaRef ds:uri="4780d0d2-c080-455e-bee8-5b3382ef325a"/>
    <ds:schemaRef ds:uri="55ad0659-6a5d-4092-b991-df82805f26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5868</Words>
  <Characters>33449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McCorquodale, Theresa</dc:creator>
  <cp:keywords/>
  <dc:description/>
  <cp:lastModifiedBy>Lori Owens</cp:lastModifiedBy>
  <cp:revision>2</cp:revision>
  <dcterms:created xsi:type="dcterms:W3CDTF">2020-11-11T23:31:00Z</dcterms:created>
  <dcterms:modified xsi:type="dcterms:W3CDTF">2020-11-11T23:31:00Z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